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7"/>
        <w:tblW w:w="93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09"/>
        <w:gridCol w:w="8855"/>
      </w:tblGrid>
      <w:tr w14:paraId="5BB8AC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14:paraId="2871BBA9">
            <w:pPr>
              <w:pStyle w:val="18"/>
              <w:framePr w:wrap="notBeside" w:vAnchor="page" w:hAnchor="page" w:x="1372" w:y="568"/>
              <w:tabs>
                <w:tab w:val="clear" w:pos="4153"/>
                <w:tab w:val="clear" w:pos="8306"/>
              </w:tabs>
              <w:spacing w:line="240" w:lineRule="auto"/>
              <w:jc w:val="left"/>
              <w:rPr>
                <w:rFonts w:hint="eastAsia" w:ascii="黑体" w:hAnsi="黑体" w:eastAsia="黑体"/>
                <w:sz w:val="21"/>
                <w:szCs w:val="21"/>
              </w:rPr>
            </w:pPr>
            <w:r>
              <w:rPr>
                <w:rFonts w:ascii="Times New Roman" w:hAnsi="Times New Roman" w:eastAsia="黑体"/>
                <w:sz w:val="21"/>
                <w:szCs w:val="21"/>
              </w:rPr>
              <w:t>ICS</w:t>
            </w:r>
            <w:r>
              <w:rPr>
                <w:rFonts w:ascii="黑体" w:hAnsi="黑体" w:eastAsia="黑体"/>
                <w:sz w:val="21"/>
                <w:szCs w:val="21"/>
              </w:rPr>
              <w:t xml:space="preserve">  </w:t>
            </w:r>
          </w:p>
        </w:tc>
        <w:tc>
          <w:tcPr>
            <w:tcW w:w="8855" w:type="dxa"/>
          </w:tcPr>
          <w:p w14:paraId="2E38FFC3">
            <w:pPr>
              <w:pStyle w:val="18"/>
              <w:framePr w:wrap="notBeside" w:vAnchor="page" w:hAnchor="page" w:x="1372" w:y="568"/>
              <w:tabs>
                <w:tab w:val="clear" w:pos="4153"/>
                <w:tab w:val="clear" w:pos="8306"/>
              </w:tabs>
              <w:spacing w:line="240" w:lineRule="auto"/>
              <w:jc w:val="both"/>
              <w:rPr>
                <w:rFonts w:hint="eastAsia" w:ascii="黑体" w:hAnsi="黑体" w:eastAsia="黑体"/>
                <w:sz w:val="21"/>
                <w:szCs w:val="21"/>
              </w:rPr>
            </w:pPr>
            <w:r>
              <w:rPr>
                <w:rFonts w:ascii="黑体" w:hAnsi="黑体" w:eastAsia="黑体"/>
                <w:sz w:val="21"/>
                <w:szCs w:val="21"/>
              </w:rPr>
              <w:fldChar w:fldCharType="begin">
                <w:ffData>
                  <w:name w:val="ICS"/>
                  <w:enabled/>
                  <w:calcOnExit w:val="0"/>
                  <w:textInput>
                    <w:default w:val="点击此处添加ICS号"/>
                  </w:textInput>
                </w:ffData>
              </w:fldChar>
            </w:r>
            <w:bookmarkStart w:id="0" w:name="ICS"/>
            <w:r>
              <w:rPr>
                <w:rFonts w:ascii="黑体" w:hAnsi="黑体" w:eastAsia="黑体"/>
                <w:sz w:val="21"/>
                <w:szCs w:val="21"/>
              </w:rPr>
              <w:instrText xml:space="preserve"> FORMTEXT </w:instrText>
            </w:r>
            <w:r>
              <w:rPr>
                <w:rFonts w:ascii="黑体" w:hAnsi="黑体" w:eastAsia="黑体"/>
                <w:sz w:val="21"/>
                <w:szCs w:val="21"/>
              </w:rPr>
              <w:fldChar w:fldCharType="separate"/>
            </w:r>
            <w:r>
              <w:rPr>
                <w:rFonts w:hint="eastAsia" w:ascii="黑体" w:hAnsi="黑体" w:eastAsia="黑体"/>
                <w:sz w:val="21"/>
                <w:szCs w:val="21"/>
              </w:rPr>
              <w:t>0</w:t>
            </w:r>
            <w:r>
              <w:rPr>
                <w:rFonts w:hint="eastAsia" w:ascii="黑体" w:hAnsi="黑体" w:eastAsia="黑体"/>
                <w:sz w:val="21"/>
                <w:szCs w:val="21"/>
                <w:lang w:val="en-US" w:eastAsia="zh-CN"/>
              </w:rPr>
              <w:t>3</w:t>
            </w:r>
            <w:r>
              <w:rPr>
                <w:rFonts w:hint="eastAsia" w:ascii="黑体" w:hAnsi="黑体" w:eastAsia="黑体"/>
                <w:sz w:val="21"/>
                <w:szCs w:val="21"/>
              </w:rPr>
              <w:t>.</w:t>
            </w:r>
            <w:r>
              <w:rPr>
                <w:rFonts w:hint="eastAsia" w:ascii="黑体" w:hAnsi="黑体" w:eastAsia="黑体"/>
                <w:sz w:val="21"/>
                <w:szCs w:val="21"/>
                <w:lang w:val="en-US" w:eastAsia="zh-CN"/>
              </w:rPr>
              <w:t>08</w:t>
            </w:r>
            <w:r>
              <w:rPr>
                <w:rFonts w:hint="eastAsia" w:ascii="黑体" w:hAnsi="黑体" w:eastAsia="黑体"/>
                <w:sz w:val="21"/>
                <w:szCs w:val="21"/>
              </w:rPr>
              <w:t>0.</w:t>
            </w:r>
            <w:r>
              <w:rPr>
                <w:rFonts w:hint="eastAsia" w:ascii="黑体" w:hAnsi="黑体" w:eastAsia="黑体"/>
                <w:sz w:val="21"/>
                <w:szCs w:val="21"/>
                <w:lang w:val="en-US" w:eastAsia="zh-CN"/>
              </w:rPr>
              <w:t>99</w:t>
            </w:r>
            <w:r>
              <w:rPr>
                <w:rFonts w:ascii="黑体" w:hAnsi="黑体" w:eastAsia="黑体"/>
                <w:sz w:val="21"/>
                <w:szCs w:val="21"/>
              </w:rPr>
              <w:fldChar w:fldCharType="end"/>
            </w:r>
            <w:bookmarkEnd w:id="0"/>
          </w:p>
        </w:tc>
      </w:tr>
      <w:tr w14:paraId="5EB64F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14:paraId="56C2D588">
            <w:pPr>
              <w:pStyle w:val="18"/>
              <w:framePr w:wrap="notBeside" w:vAnchor="page" w:hAnchor="page" w:x="1372" w:y="568"/>
              <w:tabs>
                <w:tab w:val="clear" w:pos="4153"/>
                <w:tab w:val="clear" w:pos="8306"/>
              </w:tabs>
              <w:spacing w:before="40" w:line="240" w:lineRule="auto"/>
              <w:jc w:val="left"/>
              <w:rPr>
                <w:rFonts w:hint="eastAsia" w:ascii="黑体" w:hAnsi="黑体" w:eastAsia="黑体"/>
                <w:sz w:val="21"/>
                <w:szCs w:val="21"/>
              </w:rPr>
            </w:pPr>
            <w:r>
              <w:rPr>
                <w:rFonts w:ascii="Times New Roman" w:hAnsi="Times New Roman" w:eastAsia="黑体"/>
                <w:sz w:val="21"/>
                <w:szCs w:val="21"/>
              </w:rPr>
              <w:t xml:space="preserve">CCS </w:t>
            </w:r>
            <w:r>
              <w:rPr>
                <w:rFonts w:ascii="黑体" w:hAnsi="黑体" w:eastAsia="黑体"/>
                <w:sz w:val="21"/>
                <w:szCs w:val="21"/>
              </w:rPr>
              <w:t xml:space="preserve"> </w:t>
            </w:r>
          </w:p>
        </w:tc>
        <w:tc>
          <w:tcPr>
            <w:tcW w:w="8855" w:type="dxa"/>
          </w:tcPr>
          <w:tbl>
            <w:tblPr>
              <w:tblStyle w:val="27"/>
              <w:tblpPr w:vertAnchor="page" w:horzAnchor="margin" w:tblpX="1" w:tblpY="341"/>
              <w:tblOverlap w:val="never"/>
              <w:tblW w:w="0" w:type="auto"/>
              <w:tblInd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fixed"/>
              <w:tblCellMar>
                <w:top w:w="0" w:type="dxa"/>
                <w:left w:w="0" w:type="dxa"/>
                <w:bottom w:w="0" w:type="dxa"/>
                <w:right w:w="113" w:type="dxa"/>
              </w:tblCellMar>
            </w:tblPr>
            <w:tblGrid>
              <w:gridCol w:w="9242"/>
            </w:tblGrid>
            <w:tr w14:paraId="4610CF77">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113" w:type="dxa"/>
                </w:tblCellMar>
              </w:tblPrEx>
              <w:trPr>
                <w:trHeight w:val="1021" w:hRule="exact"/>
              </w:trPr>
              <w:tc>
                <w:tcPr>
                  <w:tcW w:w="9242" w:type="dxa"/>
                  <w:vAlign w:val="center"/>
                </w:tcPr>
                <w:p w14:paraId="0B869BB9">
                  <w:pPr>
                    <w:pStyle w:val="62"/>
                    <w:framePr w:wrap="notBeside" w:vAnchor="page" w:hAnchor="page" w:x="1372" w:y="568"/>
                    <w:ind w:left="420" w:right="624"/>
                    <w:rPr>
                      <w:rFonts w:hint="eastAsia" w:ascii="宋体" w:hAnsi="宋体"/>
                      <w:sz w:val="28"/>
                      <w:szCs w:val="28"/>
                    </w:rPr>
                  </w:pPr>
                  <w:r>
                    <w:drawing>
                      <wp:inline distT="0" distB="0" distL="0" distR="0">
                        <wp:extent cx="414655" cy="430530"/>
                        <wp:effectExtent l="0" t="0" r="4445" b="7620"/>
                        <wp:docPr id="1" name="图片 1" descr="D:\000000部门项目\09标准化插件开发\程序源代码\StandardEditor_ShanDongKeXieYuan\团标首页面字母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000000部门项目\09标准化插件开发\程序源代码\StandardEditor_ShanDongKeXieYuan\团标首页面字母T.pn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a:xfrm>
                                  <a:off x="0" y="0"/>
                                  <a:ext cx="414720" cy="430560"/>
                                </a:xfrm>
                                <a:prstGeom prst="rect">
                                  <a:avLst/>
                                </a:prstGeom>
                                <a:noFill/>
                                <a:ln>
                                  <a:noFill/>
                                </a:ln>
                              </pic:spPr>
                            </pic:pic>
                          </a:graphicData>
                        </a:graphic>
                      </wp:inline>
                    </w:drawing>
                  </w:r>
                  <w:r>
                    <w:drawing>
                      <wp:inline distT="0" distB="0" distL="0" distR="0">
                        <wp:extent cx="170815" cy="436245"/>
                        <wp:effectExtent l="0" t="0" r="635" b="1905"/>
                        <wp:docPr id="2" name="图片 2" descr="D:\000000部门项目\09标准化插件开发\程序源代码\StandardEditor_ShanDongKeXieYuan\团标首页面字母T后面的反斜杠.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000000部门项目\09标准化插件开发\程序源代码\StandardEditor_ShanDongKeXieYuan\团标首页面字母T后面的反斜杠.pn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a:xfrm>
                                  <a:off x="0" y="0"/>
                                  <a:ext cx="204571" cy="522509"/>
                                </a:xfrm>
                                <a:prstGeom prst="rect">
                                  <a:avLst/>
                                </a:prstGeom>
                                <a:noFill/>
                                <a:ln>
                                  <a:noFill/>
                                </a:ln>
                              </pic:spPr>
                            </pic:pic>
                          </a:graphicData>
                        </a:graphic>
                      </wp:inline>
                    </w:drawing>
                  </w:r>
                  <w:r>
                    <w:rPr>
                      <w:sz w:val="21"/>
                      <w:szCs w:val="21"/>
                    </w:rPr>
                    <w:t xml:space="preserve"> </w:t>
                  </w:r>
                  <w:r>
                    <w:fldChar w:fldCharType="begin">
                      <w:ffData>
                        <w:name w:val="c1"/>
                        <w:enabled/>
                        <w:calcOnExit w:val="0"/>
                        <w:textInput>
                          <w:maxLength w:val="7"/>
                        </w:textInput>
                      </w:ffData>
                    </w:fldChar>
                  </w:r>
                  <w:bookmarkStart w:id="1" w:name="c1"/>
                  <w:r>
                    <w:instrText xml:space="preserve"> FORMTEXT </w:instrText>
                  </w:r>
                  <w:r>
                    <w:fldChar w:fldCharType="separate"/>
                  </w:r>
                  <w:r>
                    <w:t>     </w:t>
                  </w:r>
                  <w:r>
                    <w:fldChar w:fldCharType="end"/>
                  </w:r>
                  <w:bookmarkEnd w:id="1"/>
                </w:p>
              </w:tc>
            </w:tr>
          </w:tbl>
          <w:p w14:paraId="0DF3D81B">
            <w:pPr>
              <w:pStyle w:val="18"/>
              <w:framePr w:wrap="notBeside" w:vAnchor="page" w:hAnchor="page" w:x="1372" w:y="568"/>
              <w:tabs>
                <w:tab w:val="clear" w:pos="4153"/>
                <w:tab w:val="clear" w:pos="8306"/>
              </w:tabs>
              <w:spacing w:before="40" w:line="240" w:lineRule="auto"/>
              <w:jc w:val="left"/>
              <w:rPr>
                <w:rFonts w:hint="eastAsia" w:ascii="黑体" w:hAnsi="黑体" w:eastAsia="黑体"/>
                <w:sz w:val="21"/>
                <w:szCs w:val="21"/>
              </w:rPr>
            </w:pPr>
            <w:r>
              <w:rPr>
                <w:rFonts w:ascii="黑体" w:hAnsi="黑体" w:eastAsia="黑体"/>
                <w:sz w:val="21"/>
                <w:szCs w:val="21"/>
              </w:rPr>
              <w:fldChar w:fldCharType="begin">
                <w:ffData>
                  <w:name w:val="CSDN"/>
                  <w:enabled/>
                  <w:calcOnExit w:val="0"/>
                  <w:textInput>
                    <w:default w:val="点击此处添加CCS号"/>
                  </w:textInput>
                </w:ffData>
              </w:fldChar>
            </w:r>
            <w:bookmarkStart w:id="2" w:name="CSDN"/>
            <w:r>
              <w:rPr>
                <w:rFonts w:ascii="黑体" w:hAnsi="黑体" w:eastAsia="黑体"/>
                <w:sz w:val="21"/>
                <w:szCs w:val="21"/>
              </w:rPr>
              <w:instrText xml:space="preserve"> FORMTEXT </w:instrText>
            </w:r>
            <w:r>
              <w:rPr>
                <w:rFonts w:ascii="黑体" w:hAnsi="黑体" w:eastAsia="黑体"/>
                <w:sz w:val="21"/>
                <w:szCs w:val="21"/>
              </w:rPr>
              <w:fldChar w:fldCharType="separate"/>
            </w:r>
            <w:r>
              <w:rPr>
                <w:rFonts w:hint="eastAsia" w:ascii="黑体" w:hAnsi="黑体" w:eastAsia="黑体"/>
                <w:sz w:val="21"/>
                <w:szCs w:val="21"/>
              </w:rPr>
              <w:t xml:space="preserve">A </w:t>
            </w:r>
            <w:r>
              <w:rPr>
                <w:rFonts w:hint="eastAsia" w:ascii="黑体" w:hAnsi="黑体" w:eastAsia="黑体"/>
                <w:sz w:val="21"/>
                <w:szCs w:val="21"/>
                <w:lang w:val="en-US" w:eastAsia="zh-CN"/>
              </w:rPr>
              <w:t>20</w:t>
            </w:r>
            <w:r>
              <w:rPr>
                <w:rFonts w:ascii="黑体" w:hAnsi="黑体" w:eastAsia="黑体"/>
                <w:sz w:val="21"/>
                <w:szCs w:val="21"/>
              </w:rPr>
              <w:fldChar w:fldCharType="end"/>
            </w:r>
            <w:bookmarkEnd w:id="2"/>
          </w:p>
        </w:tc>
      </w:tr>
    </w:tbl>
    <w:p w14:paraId="1311538D">
      <w:pPr>
        <w:pStyle w:val="63"/>
        <w:framePr w:w="9639" w:h="624" w:hRule="exact" w:hSpace="181" w:vSpace="181" w:wrap="around" w:hAnchor="page" w:x="1305" w:y="2269"/>
        <w:rPr>
          <w:rFonts w:hint="eastAsia" w:ascii="黑体" w:hAnsi="黑体" w:eastAsia="黑体"/>
          <w:b w:val="0"/>
          <w:bCs w:val="0"/>
          <w:w w:val="100"/>
          <w:sz w:val="48"/>
          <w:szCs w:val="48"/>
        </w:rPr>
      </w:pPr>
      <w:bookmarkStart w:id="3" w:name="_Hlk26473981"/>
      <w:r>
        <w:rPr>
          <w:rFonts w:ascii="黑体" w:eastAsia="黑体"/>
          <w:b w:val="0"/>
          <w:w w:val="100"/>
          <w:sz w:val="48"/>
        </w:rPr>
        <w:fldChar w:fldCharType="begin">
          <w:ffData>
            <w:name w:val="c2"/>
            <w:enabled/>
            <w:calcOnExit w:val="0"/>
            <w:textInput/>
          </w:ffData>
        </w:fldChar>
      </w:r>
      <w:bookmarkStart w:id="4" w:name="c2"/>
      <w:r>
        <w:rPr>
          <w:rFonts w:ascii="黑体" w:eastAsia="黑体"/>
          <w:b w:val="0"/>
          <w:w w:val="100"/>
          <w:sz w:val="48"/>
        </w:rPr>
        <w:instrText xml:space="preserve"> FORMTEXT </w:instrText>
      </w:r>
      <w:r>
        <w:rPr>
          <w:rFonts w:ascii="黑体" w:eastAsia="黑体"/>
          <w:b w:val="0"/>
          <w:w w:val="100"/>
          <w:sz w:val="48"/>
        </w:rPr>
        <w:fldChar w:fldCharType="separate"/>
      </w:r>
      <w:r>
        <w:rPr>
          <w:rFonts w:ascii="黑体" w:eastAsia="黑体"/>
          <w:b w:val="0"/>
          <w:w w:val="100"/>
          <w:sz w:val="48"/>
        </w:rPr>
        <w:t>     </w:t>
      </w:r>
      <w:r>
        <w:rPr>
          <w:rFonts w:ascii="黑体" w:eastAsia="黑体"/>
          <w:b w:val="0"/>
          <w:w w:val="100"/>
          <w:sz w:val="48"/>
        </w:rPr>
        <w:fldChar w:fldCharType="end"/>
      </w:r>
      <w:bookmarkEnd w:id="4"/>
      <w:r>
        <w:rPr>
          <w:rFonts w:hint="eastAsia" w:ascii="黑体" w:eastAsia="黑体"/>
          <w:b w:val="0"/>
          <w:w w:val="100"/>
          <w:sz w:val="48"/>
        </w:rPr>
        <w:t>团体</w:t>
      </w:r>
      <w:r>
        <w:rPr>
          <w:rFonts w:hint="eastAsia" w:ascii="黑体" w:hAnsi="黑体" w:eastAsia="黑体"/>
          <w:b w:val="0"/>
          <w:bCs w:val="0"/>
          <w:w w:val="100"/>
          <w:sz w:val="48"/>
          <w:szCs w:val="48"/>
        </w:rPr>
        <w:t>标准</w:t>
      </w:r>
    </w:p>
    <w:bookmarkEnd w:id="3"/>
    <w:p w14:paraId="1ABF0AFD">
      <w:pPr>
        <w:pStyle w:val="200"/>
      </w:pPr>
      <w:r>
        <w:t>T/</w:t>
      </w:r>
      <w:r>
        <w:fldChar w:fldCharType="begin">
          <w:ffData>
            <w:name w:val="文字1"/>
            <w:enabled/>
            <w:calcOnExit w:val="0"/>
            <w:textInput>
              <w:default w:val="XXX"/>
            </w:textInput>
          </w:ffData>
        </w:fldChar>
      </w:r>
      <w:bookmarkStart w:id="5" w:name="文字1"/>
      <w:r>
        <w:instrText xml:space="preserve"> FORMTEXT </w:instrText>
      </w:r>
      <w:r>
        <w:fldChar w:fldCharType="separate"/>
      </w:r>
      <w:r>
        <w:rPr>
          <w:rFonts w:hint="eastAsia"/>
        </w:rPr>
        <w:t>HNXY</w:t>
      </w:r>
      <w:r>
        <w:fldChar w:fldCharType="end"/>
      </w:r>
      <w:bookmarkEnd w:id="5"/>
      <w:r>
        <w:t xml:space="preserve"> </w:t>
      </w:r>
      <w:r>
        <w:fldChar w:fldCharType="begin">
          <w:ffData>
            <w:name w:val="NSTD_CODE_F"/>
            <w:enabled/>
            <w:calcOnExit w:val="0"/>
            <w:textInput>
              <w:default w:val="XXXX"/>
            </w:textInput>
          </w:ffData>
        </w:fldChar>
      </w:r>
      <w:bookmarkStart w:id="6" w:name="NSTD_CODE_F"/>
      <w:r>
        <w:instrText xml:space="preserve"> FORMTEXT </w:instrText>
      </w:r>
      <w:r>
        <w:fldChar w:fldCharType="separate"/>
      </w:r>
      <w:r>
        <w:rPr>
          <w:rFonts w:hint="eastAsia"/>
        </w:rPr>
        <w:t>000</w:t>
      </w:r>
      <w:r>
        <w:rPr>
          <w:rFonts w:hint="eastAsia"/>
          <w:lang w:val="en-US" w:eastAsia="zh-CN"/>
        </w:rPr>
        <w:t>8</w:t>
      </w:r>
      <w:r>
        <w:fldChar w:fldCharType="end"/>
      </w:r>
      <w:bookmarkEnd w:id="6"/>
      <w:r>
        <w:rPr>
          <w:rFonts w:hAnsi="黑体"/>
        </w:rPr>
        <w:t>—</w:t>
      </w:r>
      <w:r>
        <w:fldChar w:fldCharType="begin">
          <w:ffData>
            <w:name w:val="NSTD_CODE_B"/>
            <w:enabled/>
            <w:calcOnExit w:val="0"/>
            <w:textInput>
              <w:default w:val="XXXX"/>
            </w:textInput>
          </w:ffData>
        </w:fldChar>
      </w:r>
      <w:bookmarkStart w:id="7" w:name="NSTD_CODE_B"/>
      <w:r>
        <w:instrText xml:space="preserve"> FORMTEXT </w:instrText>
      </w:r>
      <w:r>
        <w:fldChar w:fldCharType="separate"/>
      </w:r>
      <w:r>
        <w:rPr>
          <w:rFonts w:hint="eastAsia"/>
        </w:rPr>
        <w:t>2026</w:t>
      </w:r>
      <w:r>
        <w:fldChar w:fldCharType="end"/>
      </w:r>
      <w:bookmarkEnd w:id="7"/>
    </w:p>
    <w:p w14:paraId="2E153951">
      <w:pPr>
        <w:pStyle w:val="201"/>
        <w:rPr>
          <w:rFonts w:hint="eastAsia" w:hAnsi="黑体"/>
        </w:rPr>
      </w:pPr>
      <w:r>
        <w:rPr>
          <w:rFonts w:hAnsi="黑体"/>
        </w:rPr>
        <w:fldChar w:fldCharType="begin">
          <w:ffData>
            <w:name w:val="OSTD_CODE"/>
            <w:enabled/>
            <w:calcOnExit w:val="0"/>
            <w:textInput/>
          </w:ffData>
        </w:fldChar>
      </w:r>
      <w:bookmarkStart w:id="8" w:name="OSTD_CODE"/>
      <w:r>
        <w:rPr>
          <w:rFonts w:hAnsi="黑体"/>
        </w:rPr>
        <w:instrText xml:space="preserve"> FORMTEXT </w:instrText>
      </w:r>
      <w:r>
        <w:rPr>
          <w:rFonts w:hAnsi="黑体"/>
        </w:rPr>
        <w:fldChar w:fldCharType="separate"/>
      </w:r>
      <w:r>
        <w:rPr>
          <w:rFonts w:hAnsi="黑体"/>
        </w:rPr>
        <w:t>     </w:t>
      </w:r>
      <w:r>
        <w:rPr>
          <w:rFonts w:hAnsi="黑体"/>
        </w:rPr>
        <w:fldChar w:fldCharType="end"/>
      </w:r>
      <w:bookmarkEnd w:id="8"/>
    </w:p>
    <w:p w14:paraId="7F44B51C">
      <w:pPr>
        <w:spacing w:line="240" w:lineRule="auto"/>
        <w:rPr>
          <w:rFonts w:hint="eastAsia" w:ascii="黑体" w:hAnsi="黑体" w:eastAsia="黑体"/>
          <w:kern w:val="0"/>
          <w:sz w:val="10"/>
          <w:szCs w:val="10"/>
        </w:rPr>
      </w:pPr>
      <w:r>
        <w:rPr>
          <w:rFonts w:ascii="黑体" w:hAnsi="黑体" w:eastAsia="黑体"/>
          <w:kern w:val="0"/>
          <w:sz w:val="10"/>
          <w:szCs w:val="10"/>
        </w:rPr>
        <mc:AlternateContent>
          <mc:Choice Requires="wps">
            <w:drawing>
              <wp:anchor distT="0" distB="0" distL="114300" distR="114300" simplePos="0" relativeHeight="251659264" behindDoc="0" locked="0" layoutInCell="1" allowOverlap="0">
                <wp:simplePos x="0" y="0"/>
                <wp:positionH relativeFrom="page">
                  <wp:posOffset>900430</wp:posOffset>
                </wp:positionH>
                <wp:positionV relativeFrom="page">
                  <wp:posOffset>2700655</wp:posOffset>
                </wp:positionV>
                <wp:extent cx="6120130" cy="0"/>
                <wp:effectExtent l="0" t="0" r="0" b="0"/>
                <wp:wrapNone/>
                <wp:docPr id="73" name="直接连接符 73"/>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9pt;margin-top:212.65pt;height:0pt;width:481.9pt;mso-position-horizontal-relative:page;mso-position-vertical-relative:page;z-index:251659264;mso-width-relative:page;mso-height-relative:page;" filled="f" stroked="t" coordsize="21600,21600" o:allowoverlap="f" o:gfxdata="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ng0mW2AAA&#10;AAwBAAAPAAAAAAAAAAEAIAAAACIAAABkcnMvZG93bnJldi54bWxQSwECFAAUAAAACACHTuJAu+DK&#10;ZuUBAACsAwAADgAAAAAAAAABACAAAAAnAQAAZHJzL2Uyb0RvYy54bWxQSwUGAAAAAAYABgBZAQAA&#10;fgUAAAAA&#10;">
                <v:fill on="f" focussize="0,0"/>
                <v:stroke color="#000000" joinstyle="round"/>
                <v:imagedata o:title=""/>
                <o:lock v:ext="edit" aspectratio="f"/>
              </v:line>
            </w:pict>
          </mc:Fallback>
        </mc:AlternateContent>
      </w:r>
    </w:p>
    <w:p w14:paraId="09E4E777">
      <w:pPr>
        <w:pStyle w:val="63"/>
        <w:framePr w:w="9639" w:h="6976" w:hRule="exact" w:hSpace="0" w:vSpace="0" w:wrap="around" w:hAnchor="page" w:y="6408"/>
        <w:jc w:val="center"/>
        <w:rPr>
          <w:rFonts w:hint="eastAsia" w:ascii="黑体" w:hAnsi="黑体" w:eastAsia="黑体"/>
          <w:b w:val="0"/>
          <w:bCs w:val="0"/>
          <w:w w:val="100"/>
        </w:rPr>
      </w:pPr>
    </w:p>
    <w:p w14:paraId="2D90701C">
      <w:pPr>
        <w:pStyle w:val="202"/>
        <w:framePr w:h="6974" w:hRule="exact" w:wrap="around" w:x="1419" w:anchorLock="1"/>
        <w:rPr>
          <w:rFonts w:hint="eastAsia"/>
        </w:rPr>
      </w:pPr>
      <w:r>
        <w:fldChar w:fldCharType="begin">
          <w:ffData>
            <w:name w:val="CSTD_NAME"/>
            <w:enabled/>
            <w:calcOnExit w:val="0"/>
            <w:textInput>
              <w:default w:val="点击此处添加标准名称"/>
            </w:textInput>
          </w:ffData>
        </w:fldChar>
      </w:r>
      <w:bookmarkStart w:id="9" w:name="CSTD_NAME"/>
      <w:r>
        <w:instrText xml:space="preserve"> FORMTEXT </w:instrText>
      </w:r>
      <w:r>
        <w:fldChar w:fldCharType="separate"/>
      </w:r>
      <w:r>
        <w:rPr>
          <w:rFonts w:hint="eastAsia"/>
          <w:lang w:eastAsia="zh-CN"/>
        </w:rPr>
        <w:t>拍卖</w:t>
      </w:r>
      <w:r>
        <w:rPr>
          <w:rFonts w:hint="eastAsia"/>
        </w:rPr>
        <w:t>企业信用评价</w:t>
      </w:r>
      <w:r>
        <w:rPr>
          <w:rFonts w:hint="eastAsia"/>
          <w:lang w:eastAsia="zh-CN"/>
        </w:rPr>
        <w:t>管理</w:t>
      </w:r>
      <w:r>
        <w:rPr>
          <w:rFonts w:hint="eastAsia"/>
        </w:rPr>
        <w:t>规范</w:t>
      </w:r>
      <w:r>
        <w:fldChar w:fldCharType="end"/>
      </w:r>
      <w:bookmarkEnd w:id="9"/>
    </w:p>
    <w:p w14:paraId="1929BEA3">
      <w:pPr>
        <w:framePr w:w="9639" w:h="6974" w:hRule="exact" w:wrap="around" w:vAnchor="page" w:hAnchor="page" w:x="1419" w:y="6408" w:anchorLock="1"/>
        <w:ind w:left="-1418"/>
      </w:pPr>
    </w:p>
    <w:p w14:paraId="71832C3C">
      <w:pPr>
        <w:pStyle w:val="131"/>
        <w:framePr w:w="9639" w:h="6974" w:hRule="exact" w:wrap="around" w:vAnchor="page" w:hAnchor="page" w:x="1419" w:y="6408" w:anchorLock="1"/>
        <w:textAlignment w:val="bottom"/>
        <w:rPr>
          <w:rFonts w:eastAsia="黑体"/>
          <w:szCs w:val="28"/>
        </w:rPr>
      </w:pPr>
      <w:r>
        <w:rPr>
          <w:rFonts w:eastAsia="黑体"/>
          <w:szCs w:val="28"/>
        </w:rPr>
        <w:fldChar w:fldCharType="begin">
          <w:ffData>
            <w:name w:val="ESTD_NAME"/>
            <w:enabled/>
            <w:calcOnExit w:val="0"/>
            <w:textInput>
              <w:default w:val="点击此处添加标准名称的英文译名"/>
            </w:textInput>
          </w:ffData>
        </w:fldChar>
      </w:r>
      <w:bookmarkStart w:id="10" w:name="ESTD_NAME"/>
      <w:r>
        <w:rPr>
          <w:rFonts w:eastAsia="黑体"/>
          <w:szCs w:val="28"/>
        </w:rPr>
        <w:instrText xml:space="preserve"> FORMTEXT </w:instrText>
      </w:r>
      <w:r>
        <w:rPr>
          <w:rFonts w:eastAsia="黑体"/>
          <w:szCs w:val="28"/>
        </w:rPr>
        <w:fldChar w:fldCharType="separate"/>
      </w:r>
      <w:r>
        <w:rPr>
          <w:rFonts w:hint="eastAsia" w:eastAsia="黑体"/>
          <w:szCs w:val="28"/>
        </w:rPr>
        <w:t>Specification for Management of Credit Evaluation of Auction Enterprises</w:t>
      </w:r>
      <w:r>
        <w:rPr>
          <w:rFonts w:eastAsia="黑体"/>
          <w:szCs w:val="28"/>
        </w:rPr>
        <w:fldChar w:fldCharType="end"/>
      </w:r>
      <w:bookmarkEnd w:id="10"/>
    </w:p>
    <w:p w14:paraId="5044DC67">
      <w:pPr>
        <w:framePr w:w="9639" w:h="6974" w:hRule="exact" w:wrap="around" w:vAnchor="page" w:hAnchor="page" w:x="1419" w:y="6408" w:anchorLock="1"/>
        <w:spacing w:line="760" w:lineRule="exact"/>
        <w:ind w:left="-1418"/>
      </w:pPr>
    </w:p>
    <w:p w14:paraId="7CC836C1">
      <w:pPr>
        <w:pStyle w:val="131"/>
        <w:framePr w:w="9639" w:h="6974" w:hRule="exact" w:wrap="around" w:vAnchor="page" w:hAnchor="page" w:x="1419" w:y="6408" w:anchorLock="1"/>
        <w:textAlignment w:val="bottom"/>
        <w:rPr>
          <w:rFonts w:eastAsia="黑体"/>
          <w:szCs w:val="28"/>
        </w:rPr>
      </w:pPr>
    </w:p>
    <w:p w14:paraId="27E97410">
      <w:pPr>
        <w:pStyle w:val="131"/>
        <w:framePr w:w="9639" w:h="6974" w:hRule="exact" w:wrap="around" w:vAnchor="page" w:hAnchor="page" w:x="1419" w:y="6408" w:anchorLock="1"/>
        <w:spacing w:before="440" w:after="160"/>
        <w:textAlignment w:val="bottom"/>
        <w:rPr>
          <w:sz w:val="24"/>
          <w:szCs w:val="28"/>
        </w:rPr>
      </w:pPr>
      <w:r>
        <w:rPr>
          <w:sz w:val="24"/>
          <w:szCs w:val="28"/>
        </w:rPr>
        <w:fldChar w:fldCharType="begin">
          <w:ffData>
            <w:name w:val="下拉1"/>
            <w:enabled/>
            <w:calcOnExit w:val="0"/>
            <w:ddList>
              <w:result w:val="3"/>
              <w:listEntry w:val=" "/>
              <w:listEntry w:val="草案版次选择"/>
              <w:listEntry w:val="（工作组讨论稿）"/>
              <w:listEntry w:val="（征求意见稿）"/>
              <w:listEntry w:val="（送审讨论稿）"/>
              <w:listEntry w:val="（送审稿）"/>
              <w:listEntry w:val="（报批稿）"/>
            </w:ddList>
          </w:ffData>
        </w:fldChar>
      </w:r>
      <w:bookmarkStart w:id="11" w:name="下拉1"/>
      <w:r>
        <w:rPr>
          <w:sz w:val="24"/>
          <w:szCs w:val="28"/>
        </w:rPr>
        <w:instrText xml:space="preserve"> FORMDROPDOWN </w:instrText>
      </w:r>
      <w:r>
        <w:rPr>
          <w:sz w:val="24"/>
          <w:szCs w:val="28"/>
        </w:rPr>
        <w:fldChar w:fldCharType="separate"/>
      </w:r>
      <w:r>
        <w:rPr>
          <w:sz w:val="24"/>
          <w:szCs w:val="28"/>
        </w:rPr>
        <w:fldChar w:fldCharType="end"/>
      </w:r>
      <w:bookmarkEnd w:id="11"/>
    </w:p>
    <w:p w14:paraId="42165DA8">
      <w:pPr>
        <w:pStyle w:val="131"/>
        <w:framePr w:w="9639" w:h="6974" w:hRule="exact" w:wrap="around" w:vAnchor="page" w:hAnchor="page" w:x="1419" w:y="6408" w:anchorLock="1"/>
        <w:spacing w:before="180" w:line="240" w:lineRule="atLeast"/>
        <w:textAlignment w:val="bottom"/>
        <w:rPr>
          <w:sz w:val="21"/>
          <w:szCs w:val="28"/>
        </w:rPr>
      </w:pPr>
      <w:r>
        <w:rPr>
          <w:sz w:val="21"/>
          <w:szCs w:val="28"/>
        </w:rPr>
        <w:fldChar w:fldCharType="begin">
          <w:ffData>
            <w:name w:val="CMPLSH_DATE"/>
            <w:enabled/>
            <w:calcOnExit w:val="0"/>
            <w:textInput/>
          </w:ffData>
        </w:fldChar>
      </w:r>
      <w:bookmarkStart w:id="12" w:name="CMPLSH_DATE"/>
      <w:r>
        <w:rPr>
          <w:sz w:val="21"/>
          <w:szCs w:val="28"/>
        </w:rPr>
        <w:instrText xml:space="preserve"> FORMTEXT </w:instrText>
      </w:r>
      <w:r>
        <w:rPr>
          <w:sz w:val="21"/>
          <w:szCs w:val="28"/>
        </w:rPr>
        <w:fldChar w:fldCharType="separate"/>
      </w:r>
      <w:r>
        <w:rPr>
          <w:sz w:val="21"/>
          <w:szCs w:val="28"/>
        </w:rPr>
        <w:t>（本草案完成时间：</w:t>
      </w:r>
      <w:r>
        <w:rPr>
          <w:rFonts w:hint="eastAsia"/>
          <w:sz w:val="21"/>
          <w:szCs w:val="28"/>
        </w:rPr>
        <w:t>2026.0</w:t>
      </w:r>
      <w:r>
        <w:rPr>
          <w:rFonts w:hint="eastAsia"/>
          <w:sz w:val="21"/>
          <w:szCs w:val="28"/>
          <w:lang w:val="en-US" w:eastAsia="zh-CN"/>
        </w:rPr>
        <w:t>9</w:t>
      </w:r>
      <w:r>
        <w:rPr>
          <w:rFonts w:hint="eastAsia"/>
          <w:sz w:val="21"/>
          <w:szCs w:val="28"/>
        </w:rPr>
        <w:t>.</w:t>
      </w:r>
      <w:r>
        <w:rPr>
          <w:rFonts w:hint="eastAsia"/>
          <w:sz w:val="21"/>
          <w:szCs w:val="28"/>
          <w:lang w:val="en-US" w:eastAsia="zh-CN"/>
        </w:rPr>
        <w:t>15</w:t>
      </w:r>
      <w:r>
        <w:rPr>
          <w:sz w:val="21"/>
          <w:szCs w:val="28"/>
        </w:rPr>
        <w:t>）</w:t>
      </w:r>
      <w:r>
        <w:rPr>
          <w:sz w:val="21"/>
          <w:szCs w:val="28"/>
        </w:rPr>
        <w:fldChar w:fldCharType="end"/>
      </w:r>
      <w:bookmarkEnd w:id="12"/>
    </w:p>
    <w:p w14:paraId="6F13D9AF">
      <w:pPr>
        <w:pStyle w:val="131"/>
        <w:framePr w:w="9639" w:h="6974" w:hRule="exact" w:wrap="around" w:vAnchor="page" w:hAnchor="page" w:x="1419" w:y="6408" w:anchorLock="1"/>
        <w:spacing w:before="720" w:beforeLines="300" w:after="72" w:afterLines="30" w:line="240" w:lineRule="auto"/>
        <w:textAlignment w:val="bottom"/>
        <w:rPr>
          <w:b/>
          <w:sz w:val="21"/>
          <w:szCs w:val="28"/>
        </w:rPr>
      </w:pPr>
      <w:r>
        <w:rPr>
          <w:b/>
          <w:sz w:val="21"/>
          <w:szCs w:val="28"/>
        </w:rPr>
        <w:fldChar w:fldCharType="begin">
          <w:ffData>
            <w:name w:val="下拉2"/>
            <w:enabled/>
            <w:calcOnExit w:val="0"/>
            <w:ddList>
              <w:listEntry w:val=" "/>
              <w:listEntry w:val="在提交反馈意见时，请将您知道的相关专利连同支持性文件一并附上。"/>
            </w:ddList>
          </w:ffData>
        </w:fldChar>
      </w:r>
      <w:bookmarkStart w:id="13" w:name="下拉2"/>
      <w:r>
        <w:rPr>
          <w:b/>
          <w:sz w:val="21"/>
          <w:szCs w:val="28"/>
        </w:rPr>
        <w:instrText xml:space="preserve"> FORMDROPDOWN </w:instrText>
      </w:r>
      <w:r>
        <w:rPr>
          <w:b/>
          <w:sz w:val="21"/>
          <w:szCs w:val="28"/>
        </w:rPr>
        <w:fldChar w:fldCharType="separate"/>
      </w:r>
      <w:r>
        <w:rPr>
          <w:b/>
          <w:sz w:val="21"/>
          <w:szCs w:val="28"/>
        </w:rPr>
        <w:fldChar w:fldCharType="end"/>
      </w:r>
      <w:bookmarkEnd w:id="13"/>
    </w:p>
    <w:p w14:paraId="6792FEBD">
      <w:pPr>
        <w:pStyle w:val="198"/>
        <w:framePr w:wrap="around" w:y="14176"/>
      </w:pPr>
      <w:r>
        <w:rPr>
          <w:rFonts w:ascii="黑体"/>
        </w:rPr>
        <w:fldChar w:fldCharType="begin">
          <w:ffData>
            <w:name w:val="PLSH_DATE_Y"/>
            <w:enabled/>
            <w:calcOnExit w:val="0"/>
            <w:textInput>
              <w:default w:val="XXXX"/>
              <w:maxLength w:val="4"/>
            </w:textInput>
          </w:ffData>
        </w:fldChar>
      </w:r>
      <w:bookmarkStart w:id="14" w:name="PLSH_DATE_Y"/>
      <w:r>
        <w:rPr>
          <w:rFonts w:ascii="黑体"/>
        </w:rPr>
        <w:instrText xml:space="preserve"> FORMTEXT </w:instrText>
      </w:r>
      <w:r>
        <w:rPr>
          <w:rFonts w:ascii="黑体"/>
        </w:rPr>
        <w:fldChar w:fldCharType="separate"/>
      </w:r>
      <w:r>
        <w:rPr>
          <w:rFonts w:hint="eastAsia" w:ascii="黑体"/>
        </w:rPr>
        <w:t>2026</w:t>
      </w:r>
      <w:r>
        <w:rPr>
          <w:rFonts w:ascii="黑体"/>
        </w:rPr>
        <w:fldChar w:fldCharType="end"/>
      </w:r>
      <w:bookmarkEnd w:id="14"/>
      <w:r>
        <w:t xml:space="preserve"> </w:t>
      </w:r>
      <w:r>
        <w:rPr>
          <w:rFonts w:ascii="黑体"/>
        </w:rPr>
        <w:t>-</w:t>
      </w:r>
      <w:r>
        <w:t xml:space="preserve"> </w:t>
      </w:r>
      <w:r>
        <w:rPr>
          <w:rFonts w:ascii="黑体"/>
        </w:rPr>
        <w:fldChar w:fldCharType="begin">
          <w:ffData>
            <w:name w:val="PLSH_DATE_M"/>
            <w:enabled/>
            <w:calcOnExit w:val="0"/>
            <w:textInput>
              <w:default w:val="XX"/>
              <w:maxLength w:val="2"/>
            </w:textInput>
          </w:ffData>
        </w:fldChar>
      </w:r>
      <w:bookmarkStart w:id="15" w:name="PLSH_DATE_M"/>
      <w:r>
        <w:rPr>
          <w:rFonts w:ascii="黑体"/>
        </w:rPr>
        <w:instrText xml:space="preserve"> FORMTEXT </w:instrText>
      </w:r>
      <w:r>
        <w:rPr>
          <w:rFonts w:ascii="黑体"/>
        </w:rPr>
        <w:fldChar w:fldCharType="separate"/>
      </w:r>
      <w:r>
        <w:rPr>
          <w:rFonts w:hint="eastAsia" w:ascii="黑体"/>
          <w:lang w:eastAsia="zh-CN"/>
        </w:rPr>
        <w:t>1</w:t>
      </w:r>
      <w:r>
        <w:rPr>
          <w:rFonts w:hint="eastAsia" w:ascii="黑体"/>
          <w:lang w:val="en-US" w:eastAsia="zh-CN"/>
        </w:rPr>
        <w:t>2</w:t>
      </w:r>
      <w:r>
        <w:rPr>
          <w:rFonts w:ascii="黑体"/>
        </w:rPr>
        <w:fldChar w:fldCharType="end"/>
      </w:r>
      <w:bookmarkEnd w:id="15"/>
      <w:r>
        <w:t xml:space="preserve"> </w:t>
      </w:r>
      <w:r>
        <w:rPr>
          <w:rFonts w:ascii="黑体"/>
        </w:rPr>
        <w:t>-</w:t>
      </w:r>
      <w:r>
        <w:t xml:space="preserve"> </w:t>
      </w:r>
      <w:r>
        <w:rPr>
          <w:rFonts w:ascii="黑体"/>
        </w:rPr>
        <w:fldChar w:fldCharType="begin">
          <w:ffData>
            <w:name w:val="PLSH_DATE_D"/>
            <w:enabled/>
            <w:calcOnExit w:val="0"/>
            <w:textInput>
              <w:default w:val="XX"/>
              <w:maxLength w:val="2"/>
            </w:textInput>
          </w:ffData>
        </w:fldChar>
      </w:r>
      <w:bookmarkStart w:id="16" w:name="PLSH_DATE_D"/>
      <w:r>
        <w:rPr>
          <w:rFonts w:ascii="黑体"/>
        </w:rPr>
        <w:instrText xml:space="preserve"> FORMTEXT </w:instrText>
      </w:r>
      <w:r>
        <w:rPr>
          <w:rFonts w:ascii="黑体"/>
        </w:rPr>
        <w:fldChar w:fldCharType="separate"/>
      </w:r>
      <w:r>
        <w:rPr>
          <w:rFonts w:hint="eastAsia" w:ascii="黑体"/>
          <w:lang w:val="en-US" w:eastAsia="zh-CN"/>
        </w:rPr>
        <w:t>30</w:t>
      </w:r>
      <w:r>
        <w:rPr>
          <w:rFonts w:ascii="黑体"/>
        </w:rPr>
        <w:fldChar w:fldCharType="end"/>
      </w:r>
      <w:bookmarkEnd w:id="16"/>
      <w:r>
        <w:rPr>
          <w:rFonts w:hint="eastAsia"/>
        </w:rPr>
        <w:t>发布</w:t>
      </w:r>
    </w:p>
    <w:p w14:paraId="0D4395B8">
      <w:pPr>
        <w:pStyle w:val="199"/>
        <w:framePr w:wrap="around" w:y="14176"/>
      </w:pPr>
      <w:r>
        <w:rPr>
          <w:rFonts w:ascii="黑体"/>
        </w:rPr>
        <w:fldChar w:fldCharType="begin">
          <w:ffData>
            <w:name w:val="CROT_DATE_Y"/>
            <w:enabled/>
            <w:calcOnExit w:val="0"/>
            <w:textInput>
              <w:default w:val="XXXX"/>
              <w:maxLength w:val="4"/>
            </w:textInput>
          </w:ffData>
        </w:fldChar>
      </w:r>
      <w:bookmarkStart w:id="17" w:name="CROT_DATE_Y"/>
      <w:r>
        <w:rPr>
          <w:rFonts w:ascii="黑体"/>
        </w:rPr>
        <w:instrText xml:space="preserve"> FORMTEXT </w:instrText>
      </w:r>
      <w:r>
        <w:rPr>
          <w:rFonts w:ascii="黑体"/>
        </w:rPr>
        <w:fldChar w:fldCharType="separate"/>
      </w:r>
      <w:r>
        <w:rPr>
          <w:rFonts w:hint="eastAsia" w:ascii="黑体"/>
        </w:rPr>
        <w:t>2026</w:t>
      </w:r>
      <w:r>
        <w:rPr>
          <w:rFonts w:ascii="黑体"/>
        </w:rPr>
        <w:fldChar w:fldCharType="end"/>
      </w:r>
      <w:bookmarkEnd w:id="17"/>
      <w:r>
        <w:t xml:space="preserve"> </w:t>
      </w:r>
      <w:r>
        <w:rPr>
          <w:rFonts w:ascii="黑体"/>
        </w:rPr>
        <w:t>-</w:t>
      </w:r>
      <w:r>
        <w:t xml:space="preserve"> </w:t>
      </w:r>
      <w:r>
        <w:rPr>
          <w:rFonts w:ascii="黑体"/>
        </w:rPr>
        <w:fldChar w:fldCharType="begin">
          <w:ffData>
            <w:name w:val="CROT_DATE_M"/>
            <w:enabled/>
            <w:calcOnExit w:val="0"/>
            <w:textInput>
              <w:default w:val="XX"/>
              <w:maxLength w:val="2"/>
            </w:textInput>
          </w:ffData>
        </w:fldChar>
      </w:r>
      <w:bookmarkStart w:id="18" w:name="CROT_DATE_M"/>
      <w:r>
        <w:rPr>
          <w:rFonts w:ascii="黑体"/>
        </w:rPr>
        <w:instrText xml:space="preserve"> FORMTEXT </w:instrText>
      </w:r>
      <w:r>
        <w:rPr>
          <w:rFonts w:ascii="黑体"/>
        </w:rPr>
        <w:fldChar w:fldCharType="separate"/>
      </w:r>
      <w:r>
        <w:rPr>
          <w:rFonts w:hint="eastAsia" w:ascii="黑体"/>
          <w:lang w:eastAsia="zh-CN"/>
        </w:rPr>
        <w:t>1</w:t>
      </w:r>
      <w:r>
        <w:rPr>
          <w:rFonts w:hint="eastAsia" w:ascii="黑体"/>
          <w:lang w:val="en-US" w:eastAsia="zh-CN"/>
        </w:rPr>
        <w:t>2</w:t>
      </w:r>
      <w:r>
        <w:rPr>
          <w:rFonts w:ascii="黑体"/>
        </w:rPr>
        <w:fldChar w:fldCharType="end"/>
      </w:r>
      <w:bookmarkEnd w:id="18"/>
      <w:r>
        <w:t xml:space="preserve"> </w:t>
      </w:r>
      <w:r>
        <w:rPr>
          <w:rFonts w:ascii="黑体"/>
        </w:rPr>
        <w:t>-</w:t>
      </w:r>
      <w:r>
        <w:t xml:space="preserve"> </w:t>
      </w:r>
      <w:r>
        <w:rPr>
          <w:rFonts w:ascii="黑体"/>
        </w:rPr>
        <w:fldChar w:fldCharType="begin">
          <w:ffData>
            <w:name w:val="CROT_DATE_D"/>
            <w:enabled/>
            <w:calcOnExit w:val="0"/>
            <w:textInput>
              <w:default w:val="XX"/>
              <w:maxLength w:val="2"/>
            </w:textInput>
          </w:ffData>
        </w:fldChar>
      </w:r>
      <w:bookmarkStart w:id="19" w:name="CROT_DATE_D"/>
      <w:r>
        <w:rPr>
          <w:rFonts w:ascii="黑体"/>
        </w:rPr>
        <w:instrText xml:space="preserve"> FORMTEXT </w:instrText>
      </w:r>
      <w:r>
        <w:rPr>
          <w:rFonts w:ascii="黑体"/>
        </w:rPr>
        <w:fldChar w:fldCharType="separate"/>
      </w:r>
      <w:r>
        <w:rPr>
          <w:rFonts w:hint="eastAsia" w:ascii="黑体"/>
          <w:lang w:val="en-US" w:eastAsia="zh-CN"/>
        </w:rPr>
        <w:t>30</w:t>
      </w:r>
      <w:r>
        <w:rPr>
          <w:rFonts w:ascii="黑体"/>
        </w:rPr>
        <w:fldChar w:fldCharType="end"/>
      </w:r>
      <w:bookmarkEnd w:id="19"/>
      <w:r>
        <w:rPr>
          <w:rFonts w:hint="eastAsia"/>
        </w:rPr>
        <w:t>实施</w:t>
      </w:r>
    </w:p>
    <w:p w14:paraId="74D36D63">
      <w:pPr>
        <w:pStyle w:val="157"/>
        <w:framePr w:w="7448" w:h="839" w:hRule="exact" w:hSpace="181" w:vSpace="181" w:wrap="around" w:vAnchor="page" w:y="15112"/>
        <w:rPr>
          <w:rFonts w:hint="eastAsia" w:hAnsi="黑体"/>
          <w:w w:val="100"/>
          <w:sz w:val="28"/>
        </w:rPr>
      </w:pPr>
      <w:r>
        <w:rPr>
          <w:rFonts w:hAnsi="黑体"/>
          <w:w w:val="100"/>
          <w:sz w:val="28"/>
        </w:rPr>
        <w:fldChar w:fldCharType="begin">
          <w:ffData>
            <w:name w:val="fm"/>
            <w:enabled/>
            <w:calcOnExit w:val="0"/>
            <w:textInput/>
          </w:ffData>
        </w:fldChar>
      </w:r>
      <w:bookmarkStart w:id="20" w:name="fm"/>
      <w:r>
        <w:rPr>
          <w:rFonts w:hAnsi="黑体"/>
          <w:w w:val="100"/>
          <w:sz w:val="28"/>
        </w:rPr>
        <w:instrText xml:space="preserve"> FORMTEXT </w:instrText>
      </w:r>
      <w:r>
        <w:rPr>
          <w:rFonts w:hAnsi="黑体"/>
          <w:w w:val="100"/>
          <w:sz w:val="28"/>
        </w:rPr>
        <w:fldChar w:fldCharType="separate"/>
      </w:r>
      <w:r>
        <w:rPr>
          <w:rFonts w:hint="eastAsia" w:hAnsi="黑体"/>
          <w:w w:val="100"/>
          <w:sz w:val="28"/>
        </w:rPr>
        <w:t>湖南省信用管理协会</w:t>
      </w:r>
    </w:p>
    <w:p w14:paraId="6E185BFC">
      <w:pPr>
        <w:pStyle w:val="157"/>
        <w:framePr w:w="7448" w:h="839" w:hRule="exact" w:hSpace="181" w:vSpace="181" w:wrap="around" w:vAnchor="page" w:y="15112"/>
        <w:rPr>
          <w:rFonts w:hint="eastAsia" w:hAnsi="黑体"/>
        </w:rPr>
      </w:pPr>
      <w:r>
        <w:rPr>
          <w:rFonts w:hint="eastAsia" w:hAnsi="黑体"/>
          <w:w w:val="100"/>
          <w:sz w:val="28"/>
        </w:rPr>
        <w:t xml:space="preserve">         湖南省</w:t>
      </w:r>
      <w:r>
        <w:rPr>
          <w:rFonts w:hint="eastAsia" w:hAnsi="黑体"/>
          <w:w w:val="100"/>
          <w:sz w:val="28"/>
          <w:lang w:eastAsia="zh-CN"/>
        </w:rPr>
        <w:t>拍卖行业协</w:t>
      </w:r>
      <w:r>
        <w:rPr>
          <w:rFonts w:hint="eastAsia" w:hAnsi="黑体"/>
          <w:w w:val="100"/>
          <w:sz w:val="28"/>
        </w:rPr>
        <w:t>会</w:t>
      </w:r>
      <w:r>
        <w:rPr>
          <w:rFonts w:hAnsi="黑体"/>
          <w:w w:val="100"/>
          <w:sz w:val="28"/>
        </w:rPr>
        <w:fldChar w:fldCharType="end"/>
      </w:r>
      <w:bookmarkEnd w:id="20"/>
      <w:r>
        <w:rPr>
          <w:rFonts w:ascii="Times New Roman"/>
          <w:w w:val="100"/>
          <w:sz w:val="28"/>
        </w:rPr>
        <w:t>  </w:t>
      </w:r>
      <w:r>
        <w:rPr>
          <w:rStyle w:val="229"/>
          <w:rFonts w:hint="eastAsia" w:hAnsi="黑体"/>
          <w:position w:val="0"/>
        </w:rPr>
        <w:t>发</w:t>
      </w:r>
      <w:r>
        <w:rPr>
          <w:rStyle w:val="229"/>
          <w:rFonts w:hint="eastAsia" w:hAnsi="黑体"/>
          <w:spacing w:val="0"/>
          <w:position w:val="0"/>
        </w:rPr>
        <w:t>布</w:t>
      </w:r>
    </w:p>
    <w:p w14:paraId="378DB77A">
      <w:pPr>
        <w:rPr>
          <w:rFonts w:hint="eastAsia" w:ascii="宋体" w:hAnsi="宋体"/>
          <w:sz w:val="28"/>
          <w:szCs w:val="28"/>
        </w:rPr>
        <w:sectPr>
          <w:headerReference r:id="rId7" w:type="first"/>
          <w:footerReference r:id="rId9" w:type="first"/>
          <w:headerReference r:id="rId5" w:type="default"/>
          <w:headerReference r:id="rId6" w:type="even"/>
          <w:footerReference r:id="rId8" w:type="even"/>
          <w:type w:val="continuous"/>
          <w:pgSz w:w="11906" w:h="16838"/>
          <w:pgMar w:top="567" w:right="1134" w:bottom="1134" w:left="1134" w:header="1418" w:footer="1134" w:gutter="284"/>
          <w:cols w:space="425" w:num="1"/>
          <w:titlePg/>
          <w:docGrid w:linePitch="312" w:charSpace="0"/>
        </w:sectPr>
      </w:pPr>
      <w:r>
        <w:rPr>
          <w:rFonts w:hint="eastAsia" w:ascii="宋体" w:hAnsi="宋体"/>
          <w:sz w:val="28"/>
          <w:szCs w:val="28"/>
        </w:rPr>
        <mc:AlternateContent>
          <mc:Choice Requires="wps">
            <w:drawing>
              <wp:anchor distT="0" distB="0" distL="114300" distR="114300" simplePos="0" relativeHeight="251660288" behindDoc="0" locked="1" layoutInCell="1" allowOverlap="1">
                <wp:simplePos x="0" y="0"/>
                <wp:positionH relativeFrom="page">
                  <wp:posOffset>899795</wp:posOffset>
                </wp:positionH>
                <wp:positionV relativeFrom="page">
                  <wp:posOffset>9253220</wp:posOffset>
                </wp:positionV>
                <wp:extent cx="6120130" cy="0"/>
                <wp:effectExtent l="0" t="0" r="0" b="0"/>
                <wp:wrapNone/>
                <wp:docPr id="5" name="直接连接符 5"/>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85pt;margin-top:728.6pt;height:0pt;width:481.9pt;mso-position-horizontal-relative:page;mso-position-vertical-relative:page;z-index:251660288;mso-width-relative:page;mso-height-relative:page;" filled="f" stroked="t" coordsize="21600,21600" o:gfxdata="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CrMxz71wAAAA4B&#10;AAAPAAAAAAAAAAEAIAAAACIAAABkcnMvZG93bnJldi54bWxQSwECFAAUAAAACACHTuJAWS4lmOMB&#10;AACqAwAADgAAAAAAAAABACAAAAAmAQAAZHJzL2Uyb0RvYy54bWxQSwUGAAAAAAYABgBZAQAAewUA&#10;AAAA&#10;">
                <v:fill on="f" focussize="0,0"/>
                <v:stroke color="#000000" joinstyle="round"/>
                <v:imagedata o:title=""/>
                <o:lock v:ext="edit" aspectratio="f"/>
                <w10:anchorlock/>
              </v:line>
            </w:pict>
          </mc:Fallback>
        </mc:AlternateContent>
      </w:r>
    </w:p>
    <w:p w14:paraId="011EA4D9">
      <w:pPr>
        <w:pStyle w:val="102"/>
        <w:bidi w:val="0"/>
        <w:rPr>
          <w:rFonts w:hint="eastAsia"/>
          <w:lang w:eastAsia="zh-CN"/>
        </w:rPr>
      </w:pPr>
      <w:bookmarkStart w:id="21" w:name="BookMark1"/>
      <w:bookmarkStart w:id="22" w:name="_Toc24046"/>
      <w:bookmarkStart w:id="23" w:name="_Toc31357"/>
      <w:bookmarkStart w:id="91" w:name="_GoBack"/>
      <w:bookmarkEnd w:id="91"/>
      <w:r>
        <w:rPr>
          <w:rFonts w:hint="eastAsia"/>
          <w:spacing w:val="320"/>
          <w:lang w:eastAsia="zh-CN"/>
        </w:rPr>
        <w:t>目</w:t>
      </w:r>
      <w:r>
        <w:rPr>
          <w:rFonts w:hint="eastAsia"/>
          <w:lang w:eastAsia="zh-CN"/>
        </w:rPr>
        <w:t>次</w:t>
      </w:r>
    </w:p>
    <w:p w14:paraId="6899BEFA">
      <w:pPr>
        <w:pStyle w:val="19"/>
        <w:tabs>
          <w:tab w:val="right" w:leader="dot" w:pos="9354"/>
        </w:tabs>
        <w:rPr>
          <w:spacing w:val="0"/>
        </w:rPr>
      </w:pPr>
      <w:r>
        <w:rPr>
          <w:rFonts w:hint="eastAsia"/>
          <w:spacing w:val="0"/>
          <w:lang w:eastAsia="zh-CN"/>
        </w:rPr>
        <w:fldChar w:fldCharType="begin"/>
      </w:r>
      <w:r>
        <w:rPr>
          <w:rFonts w:hint="eastAsia"/>
          <w:spacing w:val="0"/>
          <w:lang w:eastAsia="zh-CN"/>
        </w:rPr>
        <w:instrText xml:space="preserve">TOC \o "1-1" \h</w:instrText>
      </w:r>
      <w:r>
        <w:rPr>
          <w:rFonts w:hint="eastAsia"/>
          <w:spacing w:val="0"/>
          <w:lang w:eastAsia="zh-CN"/>
        </w:rPr>
        <w:fldChar w:fldCharType="separate"/>
      </w:r>
      <w:r>
        <w:rPr>
          <w:rFonts w:hint="eastAsia"/>
          <w:spacing w:val="0"/>
          <w:lang w:eastAsia="zh-CN"/>
        </w:rPr>
        <w:fldChar w:fldCharType="begin"/>
      </w:r>
      <w:r>
        <w:rPr>
          <w:rFonts w:hint="eastAsia"/>
          <w:spacing w:val="0"/>
          <w:lang w:eastAsia="zh-CN"/>
        </w:rPr>
        <w:instrText xml:space="preserve"> HYPERLINK \l _Toc19390 </w:instrText>
      </w:r>
      <w:r>
        <w:rPr>
          <w:rFonts w:hint="eastAsia"/>
          <w:spacing w:val="0"/>
          <w:lang w:eastAsia="zh-CN"/>
        </w:rPr>
        <w:fldChar w:fldCharType="separate"/>
      </w:r>
      <w:r>
        <w:rPr>
          <w:rFonts w:hint="eastAsia"/>
          <w:spacing w:val="0"/>
        </w:rPr>
        <w:t>前言</w:t>
      </w:r>
      <w:r>
        <w:rPr>
          <w:spacing w:val="0"/>
        </w:rPr>
        <w:tab/>
      </w:r>
      <w:r>
        <w:rPr>
          <w:spacing w:val="0"/>
        </w:rPr>
        <w:fldChar w:fldCharType="begin"/>
      </w:r>
      <w:r>
        <w:rPr>
          <w:spacing w:val="0"/>
        </w:rPr>
        <w:instrText xml:space="preserve"> PAGEREF _Toc19390 \h </w:instrText>
      </w:r>
      <w:r>
        <w:rPr>
          <w:spacing w:val="0"/>
        </w:rPr>
        <w:fldChar w:fldCharType="separate"/>
      </w:r>
      <w:r>
        <w:rPr>
          <w:spacing w:val="0"/>
        </w:rPr>
        <w:t>II</w:t>
      </w:r>
      <w:r>
        <w:rPr>
          <w:spacing w:val="0"/>
        </w:rPr>
        <w:fldChar w:fldCharType="end"/>
      </w:r>
      <w:r>
        <w:rPr>
          <w:rFonts w:hint="eastAsia"/>
          <w:spacing w:val="0"/>
          <w:lang w:eastAsia="zh-CN"/>
        </w:rPr>
        <w:fldChar w:fldCharType="end"/>
      </w:r>
    </w:p>
    <w:p w14:paraId="2CD3983F">
      <w:pPr>
        <w:pStyle w:val="19"/>
        <w:tabs>
          <w:tab w:val="right" w:leader="dot" w:pos="9354"/>
        </w:tabs>
        <w:rPr>
          <w:spacing w:val="0"/>
        </w:rPr>
      </w:pPr>
      <w:r>
        <w:rPr>
          <w:rFonts w:hint="eastAsia"/>
          <w:spacing w:val="0"/>
          <w:lang w:eastAsia="zh-CN"/>
        </w:rPr>
        <w:fldChar w:fldCharType="begin"/>
      </w:r>
      <w:r>
        <w:rPr>
          <w:rFonts w:hint="eastAsia"/>
          <w:spacing w:val="0"/>
          <w:lang w:eastAsia="zh-CN"/>
        </w:rPr>
        <w:instrText xml:space="preserve"> HYPERLINK \l _Toc21406 </w:instrText>
      </w:r>
      <w:r>
        <w:rPr>
          <w:rFonts w:hint="eastAsia"/>
          <w:spacing w:val="0"/>
          <w:lang w:eastAsia="zh-CN"/>
        </w:rPr>
        <w:fldChar w:fldCharType="separate"/>
      </w:r>
      <w:r>
        <w:rPr>
          <w:rFonts w:hint="eastAsia"/>
          <w:spacing w:val="0"/>
        </w:rPr>
        <w:t>引言</w:t>
      </w:r>
      <w:r>
        <w:rPr>
          <w:spacing w:val="0"/>
        </w:rPr>
        <w:tab/>
      </w:r>
      <w:r>
        <w:rPr>
          <w:spacing w:val="0"/>
        </w:rPr>
        <w:fldChar w:fldCharType="begin"/>
      </w:r>
      <w:r>
        <w:rPr>
          <w:spacing w:val="0"/>
        </w:rPr>
        <w:instrText xml:space="preserve"> PAGEREF _Toc21406 \h </w:instrText>
      </w:r>
      <w:r>
        <w:rPr>
          <w:spacing w:val="0"/>
        </w:rPr>
        <w:fldChar w:fldCharType="separate"/>
      </w:r>
      <w:r>
        <w:rPr>
          <w:spacing w:val="0"/>
        </w:rPr>
        <w:t>III</w:t>
      </w:r>
      <w:r>
        <w:rPr>
          <w:spacing w:val="0"/>
        </w:rPr>
        <w:fldChar w:fldCharType="end"/>
      </w:r>
      <w:r>
        <w:rPr>
          <w:rFonts w:hint="eastAsia"/>
          <w:spacing w:val="0"/>
          <w:lang w:eastAsia="zh-CN"/>
        </w:rPr>
        <w:fldChar w:fldCharType="end"/>
      </w:r>
    </w:p>
    <w:p w14:paraId="2B3C9952">
      <w:pPr>
        <w:pStyle w:val="19"/>
        <w:tabs>
          <w:tab w:val="right" w:leader="dot" w:pos="9354"/>
        </w:tabs>
        <w:rPr>
          <w:spacing w:val="0"/>
        </w:rPr>
      </w:pPr>
      <w:r>
        <w:rPr>
          <w:rFonts w:hint="eastAsia"/>
          <w:spacing w:val="0"/>
          <w:lang w:eastAsia="zh-CN"/>
        </w:rPr>
        <w:fldChar w:fldCharType="begin"/>
      </w:r>
      <w:r>
        <w:rPr>
          <w:rFonts w:hint="eastAsia"/>
          <w:spacing w:val="0"/>
          <w:lang w:eastAsia="zh-CN"/>
        </w:rPr>
        <w:instrText xml:space="preserve"> HYPERLINK \l _Toc20401 </w:instrText>
      </w:r>
      <w:r>
        <w:rPr>
          <w:rFonts w:hint="eastAsia"/>
          <w:spacing w:val="0"/>
          <w:lang w:eastAsia="zh-CN"/>
        </w:rPr>
        <w:fldChar w:fldCharType="separate"/>
      </w:r>
      <w:r>
        <w:rPr>
          <w:rFonts w:hint="eastAsia" w:ascii="黑体" w:eastAsia="黑体"/>
          <w:i w:val="0"/>
          <w:spacing w:val="0"/>
        </w:rPr>
        <w:t>1</w:t>
      </w:r>
      <w:r>
        <w:rPr>
          <w:rFonts w:hint="eastAsia" w:ascii="黑体" w:eastAsia="黑体"/>
          <w:i w:val="0"/>
          <w:spacing w:val="0"/>
          <w:lang w:eastAsia="zh-CN"/>
        </w:rPr>
        <w:t xml:space="preserve"> </w:t>
      </w:r>
      <w:r>
        <w:rPr>
          <w:rFonts w:hint="eastAsia" w:ascii="黑体" w:eastAsia="黑体"/>
          <w:i w:val="0"/>
          <w:spacing w:val="0"/>
        </w:rPr>
        <w:t xml:space="preserve"> </w:t>
      </w:r>
      <w:r>
        <w:rPr>
          <w:rFonts w:hint="eastAsia"/>
          <w:spacing w:val="0"/>
        </w:rPr>
        <w:t>范围</w:t>
      </w:r>
      <w:r>
        <w:rPr>
          <w:spacing w:val="0"/>
        </w:rPr>
        <w:tab/>
      </w:r>
      <w:r>
        <w:rPr>
          <w:spacing w:val="0"/>
        </w:rPr>
        <w:fldChar w:fldCharType="begin"/>
      </w:r>
      <w:r>
        <w:rPr>
          <w:spacing w:val="0"/>
        </w:rPr>
        <w:instrText xml:space="preserve"> PAGEREF _Toc20401 \h </w:instrText>
      </w:r>
      <w:r>
        <w:rPr>
          <w:spacing w:val="0"/>
        </w:rPr>
        <w:fldChar w:fldCharType="separate"/>
      </w:r>
      <w:r>
        <w:rPr>
          <w:spacing w:val="0"/>
        </w:rPr>
        <w:t>4</w:t>
      </w:r>
      <w:r>
        <w:rPr>
          <w:spacing w:val="0"/>
        </w:rPr>
        <w:fldChar w:fldCharType="end"/>
      </w:r>
      <w:r>
        <w:rPr>
          <w:rFonts w:hint="eastAsia"/>
          <w:spacing w:val="0"/>
          <w:lang w:eastAsia="zh-CN"/>
        </w:rPr>
        <w:fldChar w:fldCharType="end"/>
      </w:r>
    </w:p>
    <w:p w14:paraId="6BC660C7">
      <w:pPr>
        <w:pStyle w:val="19"/>
        <w:tabs>
          <w:tab w:val="right" w:leader="dot" w:pos="9354"/>
        </w:tabs>
        <w:rPr>
          <w:spacing w:val="0"/>
        </w:rPr>
      </w:pPr>
      <w:r>
        <w:rPr>
          <w:rFonts w:hint="eastAsia"/>
          <w:spacing w:val="0"/>
          <w:lang w:eastAsia="zh-CN"/>
        </w:rPr>
        <w:fldChar w:fldCharType="begin"/>
      </w:r>
      <w:r>
        <w:rPr>
          <w:rFonts w:hint="eastAsia"/>
          <w:spacing w:val="0"/>
          <w:lang w:eastAsia="zh-CN"/>
        </w:rPr>
        <w:instrText xml:space="preserve"> HYPERLINK \l _Toc2642 </w:instrText>
      </w:r>
      <w:r>
        <w:rPr>
          <w:rFonts w:hint="eastAsia"/>
          <w:spacing w:val="0"/>
          <w:lang w:eastAsia="zh-CN"/>
        </w:rPr>
        <w:fldChar w:fldCharType="separate"/>
      </w:r>
      <w:r>
        <w:rPr>
          <w:rFonts w:hint="eastAsia" w:ascii="黑体" w:eastAsia="黑体"/>
          <w:i w:val="0"/>
          <w:spacing w:val="0"/>
        </w:rPr>
        <w:t>2</w:t>
      </w:r>
      <w:r>
        <w:rPr>
          <w:rFonts w:hint="eastAsia" w:ascii="黑体" w:eastAsia="黑体"/>
          <w:i w:val="0"/>
          <w:spacing w:val="0"/>
          <w:lang w:eastAsia="zh-CN"/>
        </w:rPr>
        <w:t xml:space="preserve"> </w:t>
      </w:r>
      <w:r>
        <w:rPr>
          <w:rFonts w:hint="eastAsia" w:ascii="黑体" w:eastAsia="黑体"/>
          <w:i w:val="0"/>
          <w:spacing w:val="0"/>
        </w:rPr>
        <w:t xml:space="preserve"> </w:t>
      </w:r>
      <w:r>
        <w:rPr>
          <w:rFonts w:hint="eastAsia"/>
          <w:spacing w:val="0"/>
        </w:rPr>
        <w:t>规范性引用文件</w:t>
      </w:r>
      <w:r>
        <w:rPr>
          <w:spacing w:val="0"/>
        </w:rPr>
        <w:tab/>
      </w:r>
      <w:r>
        <w:rPr>
          <w:spacing w:val="0"/>
        </w:rPr>
        <w:fldChar w:fldCharType="begin"/>
      </w:r>
      <w:r>
        <w:rPr>
          <w:spacing w:val="0"/>
        </w:rPr>
        <w:instrText xml:space="preserve"> PAGEREF _Toc2642 \h </w:instrText>
      </w:r>
      <w:r>
        <w:rPr>
          <w:spacing w:val="0"/>
        </w:rPr>
        <w:fldChar w:fldCharType="separate"/>
      </w:r>
      <w:r>
        <w:rPr>
          <w:spacing w:val="0"/>
        </w:rPr>
        <w:t>4</w:t>
      </w:r>
      <w:r>
        <w:rPr>
          <w:spacing w:val="0"/>
        </w:rPr>
        <w:fldChar w:fldCharType="end"/>
      </w:r>
      <w:r>
        <w:rPr>
          <w:rFonts w:hint="eastAsia"/>
          <w:spacing w:val="0"/>
          <w:lang w:eastAsia="zh-CN"/>
        </w:rPr>
        <w:fldChar w:fldCharType="end"/>
      </w:r>
    </w:p>
    <w:p w14:paraId="7E89A0AC">
      <w:pPr>
        <w:pStyle w:val="19"/>
        <w:tabs>
          <w:tab w:val="right" w:leader="dot" w:pos="9354"/>
        </w:tabs>
        <w:rPr>
          <w:spacing w:val="0"/>
        </w:rPr>
      </w:pPr>
      <w:r>
        <w:rPr>
          <w:rFonts w:hint="eastAsia"/>
          <w:spacing w:val="0"/>
          <w:lang w:eastAsia="zh-CN"/>
        </w:rPr>
        <w:fldChar w:fldCharType="begin"/>
      </w:r>
      <w:r>
        <w:rPr>
          <w:rFonts w:hint="eastAsia"/>
          <w:spacing w:val="0"/>
          <w:lang w:eastAsia="zh-CN"/>
        </w:rPr>
        <w:instrText xml:space="preserve"> HYPERLINK \l _Toc20496 </w:instrText>
      </w:r>
      <w:r>
        <w:rPr>
          <w:rFonts w:hint="eastAsia"/>
          <w:spacing w:val="0"/>
          <w:lang w:eastAsia="zh-CN"/>
        </w:rPr>
        <w:fldChar w:fldCharType="separate"/>
      </w:r>
      <w:r>
        <w:rPr>
          <w:rFonts w:hint="eastAsia" w:ascii="黑体" w:eastAsia="黑体"/>
          <w:i w:val="0"/>
          <w:spacing w:val="0"/>
        </w:rPr>
        <w:t>3</w:t>
      </w:r>
      <w:r>
        <w:rPr>
          <w:rFonts w:hint="eastAsia" w:ascii="黑体" w:eastAsia="黑体"/>
          <w:i w:val="0"/>
          <w:spacing w:val="0"/>
          <w:lang w:eastAsia="zh-CN"/>
        </w:rPr>
        <w:t xml:space="preserve"> </w:t>
      </w:r>
      <w:r>
        <w:rPr>
          <w:rFonts w:hint="eastAsia" w:ascii="黑体" w:eastAsia="黑体"/>
          <w:i w:val="0"/>
          <w:spacing w:val="0"/>
        </w:rPr>
        <w:t xml:space="preserve"> </w:t>
      </w:r>
      <w:r>
        <w:rPr>
          <w:rFonts w:hint="eastAsia"/>
          <w:spacing w:val="0"/>
          <w:szCs w:val="21"/>
        </w:rPr>
        <w:t>术语和定义</w:t>
      </w:r>
      <w:r>
        <w:rPr>
          <w:spacing w:val="0"/>
        </w:rPr>
        <w:tab/>
      </w:r>
      <w:r>
        <w:rPr>
          <w:spacing w:val="0"/>
        </w:rPr>
        <w:fldChar w:fldCharType="begin"/>
      </w:r>
      <w:r>
        <w:rPr>
          <w:spacing w:val="0"/>
        </w:rPr>
        <w:instrText xml:space="preserve"> PAGEREF _Toc20496 \h </w:instrText>
      </w:r>
      <w:r>
        <w:rPr>
          <w:spacing w:val="0"/>
        </w:rPr>
        <w:fldChar w:fldCharType="separate"/>
      </w:r>
      <w:r>
        <w:rPr>
          <w:spacing w:val="0"/>
        </w:rPr>
        <w:t>4</w:t>
      </w:r>
      <w:r>
        <w:rPr>
          <w:spacing w:val="0"/>
        </w:rPr>
        <w:fldChar w:fldCharType="end"/>
      </w:r>
      <w:r>
        <w:rPr>
          <w:rFonts w:hint="eastAsia"/>
          <w:spacing w:val="0"/>
          <w:lang w:eastAsia="zh-CN"/>
        </w:rPr>
        <w:fldChar w:fldCharType="end"/>
      </w:r>
    </w:p>
    <w:p w14:paraId="5043A256">
      <w:pPr>
        <w:pStyle w:val="19"/>
        <w:tabs>
          <w:tab w:val="right" w:leader="dot" w:pos="9354"/>
        </w:tabs>
        <w:rPr>
          <w:spacing w:val="0"/>
        </w:rPr>
      </w:pPr>
      <w:r>
        <w:rPr>
          <w:rFonts w:hint="eastAsia"/>
          <w:spacing w:val="0"/>
          <w:lang w:eastAsia="zh-CN"/>
        </w:rPr>
        <w:fldChar w:fldCharType="begin"/>
      </w:r>
      <w:r>
        <w:rPr>
          <w:rFonts w:hint="eastAsia"/>
          <w:spacing w:val="0"/>
          <w:lang w:eastAsia="zh-CN"/>
        </w:rPr>
        <w:instrText xml:space="preserve"> HYPERLINK \l _Toc22373 </w:instrText>
      </w:r>
      <w:r>
        <w:rPr>
          <w:rFonts w:hint="eastAsia"/>
          <w:spacing w:val="0"/>
          <w:lang w:eastAsia="zh-CN"/>
        </w:rPr>
        <w:fldChar w:fldCharType="separate"/>
      </w:r>
      <w:r>
        <w:rPr>
          <w:rFonts w:hint="eastAsia" w:ascii="黑体" w:eastAsia="黑体"/>
          <w:i w:val="0"/>
          <w:spacing w:val="0"/>
        </w:rPr>
        <w:t>4</w:t>
      </w:r>
      <w:r>
        <w:rPr>
          <w:rFonts w:hint="eastAsia" w:ascii="黑体" w:eastAsia="黑体"/>
          <w:i w:val="0"/>
          <w:spacing w:val="0"/>
          <w:lang w:eastAsia="zh-CN"/>
        </w:rPr>
        <w:t xml:space="preserve"> </w:t>
      </w:r>
      <w:r>
        <w:rPr>
          <w:rFonts w:hint="eastAsia" w:ascii="黑体" w:eastAsia="黑体"/>
          <w:i w:val="0"/>
          <w:spacing w:val="0"/>
        </w:rPr>
        <w:t xml:space="preserve"> </w:t>
      </w:r>
      <w:r>
        <w:rPr>
          <w:rFonts w:hint="eastAsia"/>
          <w:spacing w:val="0"/>
        </w:rPr>
        <w:t>评价</w:t>
      </w:r>
      <w:r>
        <w:rPr>
          <w:rFonts w:hint="eastAsia"/>
          <w:spacing w:val="0"/>
          <w:lang w:val="en-US" w:eastAsia="zh-CN"/>
        </w:rPr>
        <w:t>原则</w:t>
      </w:r>
      <w:r>
        <w:rPr>
          <w:spacing w:val="0"/>
        </w:rPr>
        <w:tab/>
      </w:r>
      <w:r>
        <w:rPr>
          <w:spacing w:val="0"/>
        </w:rPr>
        <w:fldChar w:fldCharType="begin"/>
      </w:r>
      <w:r>
        <w:rPr>
          <w:spacing w:val="0"/>
        </w:rPr>
        <w:instrText xml:space="preserve"> PAGEREF _Toc22373 \h </w:instrText>
      </w:r>
      <w:r>
        <w:rPr>
          <w:spacing w:val="0"/>
        </w:rPr>
        <w:fldChar w:fldCharType="separate"/>
      </w:r>
      <w:r>
        <w:rPr>
          <w:spacing w:val="0"/>
        </w:rPr>
        <w:t>5</w:t>
      </w:r>
      <w:r>
        <w:rPr>
          <w:spacing w:val="0"/>
        </w:rPr>
        <w:fldChar w:fldCharType="end"/>
      </w:r>
      <w:r>
        <w:rPr>
          <w:rFonts w:hint="eastAsia"/>
          <w:spacing w:val="0"/>
          <w:lang w:eastAsia="zh-CN"/>
        </w:rPr>
        <w:fldChar w:fldCharType="end"/>
      </w:r>
    </w:p>
    <w:p w14:paraId="774A131E">
      <w:pPr>
        <w:pStyle w:val="19"/>
        <w:tabs>
          <w:tab w:val="right" w:leader="dot" w:pos="9354"/>
        </w:tabs>
        <w:rPr>
          <w:rFonts w:hint="default"/>
          <w:spacing w:val="0"/>
          <w:lang w:val="en-US"/>
        </w:rPr>
      </w:pPr>
      <w:r>
        <w:rPr>
          <w:rFonts w:hint="eastAsia"/>
          <w:spacing w:val="0"/>
          <w:lang w:eastAsia="zh-CN"/>
        </w:rPr>
        <w:fldChar w:fldCharType="begin"/>
      </w:r>
      <w:r>
        <w:rPr>
          <w:rFonts w:hint="eastAsia"/>
          <w:spacing w:val="0"/>
          <w:lang w:eastAsia="zh-CN"/>
        </w:rPr>
        <w:instrText xml:space="preserve"> HYPERLINK \l _Toc19299 </w:instrText>
      </w:r>
      <w:r>
        <w:rPr>
          <w:rFonts w:hint="eastAsia"/>
          <w:spacing w:val="0"/>
          <w:lang w:eastAsia="zh-CN"/>
        </w:rPr>
        <w:fldChar w:fldCharType="separate"/>
      </w:r>
      <w:r>
        <w:rPr>
          <w:rFonts w:hint="eastAsia" w:ascii="黑体" w:eastAsia="黑体"/>
          <w:i w:val="0"/>
          <w:spacing w:val="0"/>
        </w:rPr>
        <w:t>5</w:t>
      </w:r>
      <w:r>
        <w:rPr>
          <w:rFonts w:hint="eastAsia" w:ascii="黑体" w:eastAsia="黑体"/>
          <w:i w:val="0"/>
          <w:spacing w:val="0"/>
          <w:lang w:eastAsia="zh-CN"/>
        </w:rPr>
        <w:t xml:space="preserve"> </w:t>
      </w:r>
      <w:r>
        <w:rPr>
          <w:rFonts w:hint="eastAsia" w:ascii="黑体" w:eastAsia="黑体"/>
          <w:i w:val="0"/>
          <w:spacing w:val="0"/>
        </w:rPr>
        <w:t xml:space="preserve"> </w:t>
      </w:r>
      <w:r>
        <w:rPr>
          <w:rFonts w:hint="eastAsia"/>
          <w:spacing w:val="0"/>
          <w:lang w:val="en-US" w:eastAsia="zh-CN"/>
        </w:rPr>
        <w:t>评价对象与条件</w:t>
      </w:r>
      <w:r>
        <w:rPr>
          <w:spacing w:val="0"/>
        </w:rPr>
        <w:tab/>
      </w:r>
      <w:r>
        <w:rPr>
          <w:rFonts w:hint="eastAsia"/>
          <w:spacing w:val="0"/>
          <w:lang w:eastAsia="zh-CN"/>
        </w:rPr>
        <w:fldChar w:fldCharType="end"/>
      </w:r>
      <w:r>
        <w:rPr>
          <w:rFonts w:hint="eastAsia"/>
          <w:spacing w:val="0"/>
          <w:lang w:val="en-US" w:eastAsia="zh-CN"/>
        </w:rPr>
        <w:t>5</w:t>
      </w:r>
    </w:p>
    <w:p w14:paraId="4CB59ABA">
      <w:pPr>
        <w:pStyle w:val="19"/>
        <w:tabs>
          <w:tab w:val="right" w:leader="dot" w:pos="9354"/>
        </w:tabs>
        <w:rPr>
          <w:spacing w:val="0"/>
        </w:rPr>
      </w:pPr>
      <w:r>
        <w:rPr>
          <w:rFonts w:hint="eastAsia"/>
          <w:spacing w:val="0"/>
          <w:lang w:eastAsia="zh-CN"/>
        </w:rPr>
        <w:fldChar w:fldCharType="begin"/>
      </w:r>
      <w:r>
        <w:rPr>
          <w:rFonts w:hint="eastAsia"/>
          <w:spacing w:val="0"/>
          <w:lang w:eastAsia="zh-CN"/>
        </w:rPr>
        <w:instrText xml:space="preserve"> HYPERLINK \l _Toc22117 </w:instrText>
      </w:r>
      <w:r>
        <w:rPr>
          <w:rFonts w:hint="eastAsia"/>
          <w:spacing w:val="0"/>
          <w:lang w:eastAsia="zh-CN"/>
        </w:rPr>
        <w:fldChar w:fldCharType="separate"/>
      </w:r>
      <w:r>
        <w:rPr>
          <w:rFonts w:hint="eastAsia" w:ascii="黑体" w:eastAsia="黑体"/>
          <w:i w:val="0"/>
          <w:spacing w:val="0"/>
        </w:rPr>
        <w:t>6</w:t>
      </w:r>
      <w:r>
        <w:rPr>
          <w:rFonts w:hint="eastAsia" w:ascii="黑体" w:eastAsia="黑体"/>
          <w:i w:val="0"/>
          <w:spacing w:val="0"/>
          <w:lang w:eastAsia="zh-CN"/>
        </w:rPr>
        <w:t xml:space="preserve"> </w:t>
      </w:r>
      <w:r>
        <w:rPr>
          <w:rFonts w:hint="eastAsia" w:ascii="黑体" w:eastAsia="黑体"/>
          <w:i w:val="0"/>
          <w:spacing w:val="0"/>
        </w:rPr>
        <w:t xml:space="preserve"> </w:t>
      </w:r>
      <w:r>
        <w:rPr>
          <w:rFonts w:hint="eastAsia"/>
          <w:spacing w:val="0"/>
        </w:rPr>
        <w:t>评价</w:t>
      </w:r>
      <w:r>
        <w:rPr>
          <w:rFonts w:hint="eastAsia"/>
          <w:spacing w:val="0"/>
          <w:lang w:val="en-US" w:eastAsia="zh-CN"/>
        </w:rPr>
        <w:t>指标体系</w:t>
      </w:r>
      <w:r>
        <w:rPr>
          <w:spacing w:val="0"/>
        </w:rPr>
        <w:tab/>
      </w:r>
      <w:r>
        <w:rPr>
          <w:spacing w:val="0"/>
        </w:rPr>
        <w:fldChar w:fldCharType="begin"/>
      </w:r>
      <w:r>
        <w:rPr>
          <w:spacing w:val="0"/>
        </w:rPr>
        <w:instrText xml:space="preserve"> PAGEREF _Toc22117 \h </w:instrText>
      </w:r>
      <w:r>
        <w:rPr>
          <w:spacing w:val="0"/>
        </w:rPr>
        <w:fldChar w:fldCharType="separate"/>
      </w:r>
      <w:r>
        <w:rPr>
          <w:spacing w:val="0"/>
        </w:rPr>
        <w:t>6</w:t>
      </w:r>
      <w:r>
        <w:rPr>
          <w:spacing w:val="0"/>
        </w:rPr>
        <w:fldChar w:fldCharType="end"/>
      </w:r>
      <w:r>
        <w:rPr>
          <w:rFonts w:hint="eastAsia"/>
          <w:spacing w:val="0"/>
          <w:lang w:eastAsia="zh-CN"/>
        </w:rPr>
        <w:fldChar w:fldCharType="end"/>
      </w:r>
    </w:p>
    <w:p w14:paraId="2DAE7431">
      <w:pPr>
        <w:pStyle w:val="19"/>
        <w:tabs>
          <w:tab w:val="right" w:leader="dot" w:pos="9354"/>
        </w:tabs>
        <w:rPr>
          <w:spacing w:val="0"/>
        </w:rPr>
      </w:pPr>
      <w:r>
        <w:rPr>
          <w:rFonts w:hint="eastAsia"/>
          <w:spacing w:val="0"/>
          <w:lang w:eastAsia="zh-CN"/>
        </w:rPr>
        <w:fldChar w:fldCharType="begin"/>
      </w:r>
      <w:r>
        <w:rPr>
          <w:rFonts w:hint="eastAsia"/>
          <w:spacing w:val="0"/>
          <w:lang w:eastAsia="zh-CN"/>
        </w:rPr>
        <w:instrText xml:space="preserve"> HYPERLINK \l _Toc12703 </w:instrText>
      </w:r>
      <w:r>
        <w:rPr>
          <w:rFonts w:hint="eastAsia"/>
          <w:spacing w:val="0"/>
          <w:lang w:eastAsia="zh-CN"/>
        </w:rPr>
        <w:fldChar w:fldCharType="separate"/>
      </w:r>
      <w:r>
        <w:rPr>
          <w:rFonts w:hint="eastAsia" w:ascii="黑体" w:eastAsia="黑体"/>
          <w:i w:val="0"/>
          <w:spacing w:val="0"/>
        </w:rPr>
        <w:t>7</w:t>
      </w:r>
      <w:r>
        <w:rPr>
          <w:rFonts w:hint="eastAsia" w:ascii="黑体" w:eastAsia="黑体"/>
          <w:i w:val="0"/>
          <w:spacing w:val="0"/>
          <w:lang w:eastAsia="zh-CN"/>
        </w:rPr>
        <w:t xml:space="preserve"> </w:t>
      </w:r>
      <w:r>
        <w:rPr>
          <w:rFonts w:hint="eastAsia" w:ascii="黑体" w:eastAsia="黑体"/>
          <w:i w:val="0"/>
          <w:spacing w:val="0"/>
        </w:rPr>
        <w:t xml:space="preserve"> </w:t>
      </w:r>
      <w:r>
        <w:rPr>
          <w:rFonts w:hint="eastAsia"/>
          <w:spacing w:val="0"/>
        </w:rPr>
        <w:t>评价</w:t>
      </w:r>
      <w:r>
        <w:rPr>
          <w:rFonts w:hint="eastAsia"/>
          <w:spacing w:val="0"/>
          <w:lang w:val="en-US" w:eastAsia="zh-CN"/>
        </w:rPr>
        <w:t>机构</w:t>
      </w:r>
      <w:r>
        <w:rPr>
          <w:spacing w:val="0"/>
        </w:rPr>
        <w:tab/>
      </w:r>
      <w:r>
        <w:rPr>
          <w:rFonts w:hint="eastAsia"/>
          <w:spacing w:val="0"/>
          <w:lang w:val="en-US" w:eastAsia="zh-CN"/>
        </w:rPr>
        <w:t>7</w:t>
      </w:r>
      <w:r>
        <w:rPr>
          <w:rFonts w:hint="eastAsia"/>
          <w:spacing w:val="0"/>
          <w:lang w:eastAsia="zh-CN"/>
        </w:rPr>
        <w:fldChar w:fldCharType="end"/>
      </w:r>
    </w:p>
    <w:p w14:paraId="5EA3A2B8">
      <w:pPr>
        <w:pStyle w:val="19"/>
        <w:tabs>
          <w:tab w:val="right" w:leader="dot" w:pos="9354"/>
        </w:tabs>
        <w:rPr>
          <w:spacing w:val="0"/>
        </w:rPr>
      </w:pPr>
      <w:r>
        <w:rPr>
          <w:rFonts w:hint="eastAsia"/>
          <w:spacing w:val="0"/>
          <w:lang w:eastAsia="zh-CN"/>
        </w:rPr>
        <w:fldChar w:fldCharType="begin"/>
      </w:r>
      <w:r>
        <w:rPr>
          <w:rFonts w:hint="eastAsia"/>
          <w:spacing w:val="0"/>
          <w:lang w:eastAsia="zh-CN"/>
        </w:rPr>
        <w:instrText xml:space="preserve"> HYPERLINK \l _Toc22431 </w:instrText>
      </w:r>
      <w:r>
        <w:rPr>
          <w:rFonts w:hint="eastAsia"/>
          <w:spacing w:val="0"/>
          <w:lang w:eastAsia="zh-CN"/>
        </w:rPr>
        <w:fldChar w:fldCharType="separate"/>
      </w:r>
      <w:r>
        <w:rPr>
          <w:rFonts w:hint="eastAsia" w:ascii="黑体" w:eastAsia="黑体"/>
          <w:i w:val="0"/>
          <w:spacing w:val="0"/>
        </w:rPr>
        <w:t>8</w:t>
      </w:r>
      <w:r>
        <w:rPr>
          <w:rFonts w:hint="eastAsia" w:ascii="黑体" w:eastAsia="黑体"/>
          <w:i w:val="0"/>
          <w:spacing w:val="0"/>
          <w:lang w:eastAsia="zh-CN"/>
        </w:rPr>
        <w:t xml:space="preserve"> </w:t>
      </w:r>
      <w:r>
        <w:rPr>
          <w:rFonts w:hint="eastAsia" w:ascii="黑体" w:eastAsia="黑体"/>
          <w:i w:val="0"/>
          <w:spacing w:val="0"/>
          <w:lang w:val="en-US" w:eastAsia="zh-CN"/>
        </w:rPr>
        <w:t xml:space="preserve"> </w:t>
      </w:r>
      <w:r>
        <w:rPr>
          <w:rFonts w:hint="eastAsia"/>
          <w:spacing w:val="0"/>
          <w:lang w:val="en-US" w:eastAsia="zh-CN"/>
        </w:rPr>
        <w:t>信用等级划分</w:t>
      </w:r>
      <w:r>
        <w:rPr>
          <w:rFonts w:hint="eastAsia" w:ascii="黑体" w:eastAsia="黑体"/>
          <w:i w:val="0"/>
          <w:spacing w:val="0"/>
        </w:rPr>
        <w:t xml:space="preserve"> </w:t>
      </w:r>
      <w:r>
        <w:rPr>
          <w:spacing w:val="0"/>
        </w:rPr>
        <w:tab/>
      </w:r>
      <w:r>
        <w:rPr>
          <w:rFonts w:hint="eastAsia"/>
          <w:spacing w:val="0"/>
          <w:lang w:val="en-US" w:eastAsia="zh-CN"/>
        </w:rPr>
        <w:t>8</w:t>
      </w:r>
      <w:r>
        <w:rPr>
          <w:rFonts w:hint="eastAsia"/>
          <w:spacing w:val="0"/>
          <w:lang w:eastAsia="zh-CN"/>
        </w:rPr>
        <w:fldChar w:fldCharType="end"/>
      </w:r>
    </w:p>
    <w:p w14:paraId="59F77498">
      <w:pPr>
        <w:pStyle w:val="19"/>
        <w:tabs>
          <w:tab w:val="right" w:leader="dot" w:pos="9354"/>
        </w:tabs>
        <w:rPr>
          <w:rFonts w:hint="default"/>
          <w:spacing w:val="0"/>
          <w:lang w:val="en-US"/>
        </w:rPr>
      </w:pPr>
      <w:r>
        <w:rPr>
          <w:rFonts w:hint="eastAsia"/>
          <w:spacing w:val="0"/>
          <w:lang w:eastAsia="zh-CN"/>
        </w:rPr>
        <w:fldChar w:fldCharType="begin"/>
      </w:r>
      <w:r>
        <w:rPr>
          <w:rFonts w:hint="eastAsia"/>
          <w:spacing w:val="0"/>
          <w:lang w:eastAsia="zh-CN"/>
        </w:rPr>
        <w:instrText xml:space="preserve"> HYPERLINK \l _Toc31043 </w:instrText>
      </w:r>
      <w:r>
        <w:rPr>
          <w:rFonts w:hint="eastAsia"/>
          <w:spacing w:val="0"/>
          <w:lang w:eastAsia="zh-CN"/>
        </w:rPr>
        <w:fldChar w:fldCharType="separate"/>
      </w:r>
      <w:r>
        <w:rPr>
          <w:rFonts w:hint="eastAsia" w:ascii="黑体" w:eastAsia="黑体"/>
          <w:i w:val="0"/>
          <w:spacing w:val="0"/>
        </w:rPr>
        <w:t>9</w:t>
      </w:r>
      <w:r>
        <w:rPr>
          <w:rFonts w:hint="eastAsia" w:ascii="黑体" w:eastAsia="黑体"/>
          <w:i w:val="0"/>
          <w:spacing w:val="0"/>
          <w:lang w:eastAsia="zh-CN"/>
        </w:rPr>
        <w:t xml:space="preserve"> </w:t>
      </w:r>
      <w:r>
        <w:rPr>
          <w:rFonts w:hint="eastAsia" w:ascii="黑体" w:eastAsia="黑体"/>
          <w:i w:val="0"/>
          <w:spacing w:val="0"/>
        </w:rPr>
        <w:t xml:space="preserve"> </w:t>
      </w:r>
      <w:r>
        <w:rPr>
          <w:rFonts w:hint="eastAsia"/>
          <w:spacing w:val="0"/>
        </w:rPr>
        <w:t>评价程序</w:t>
      </w:r>
      <w:r>
        <w:rPr>
          <w:spacing w:val="0"/>
        </w:rPr>
        <w:tab/>
      </w:r>
      <w:r>
        <w:rPr>
          <w:rFonts w:hint="eastAsia"/>
          <w:spacing w:val="0"/>
          <w:lang w:val="en-US" w:eastAsia="zh-CN"/>
        </w:rPr>
        <w:t>1</w:t>
      </w:r>
      <w:r>
        <w:rPr>
          <w:rFonts w:hint="eastAsia"/>
          <w:spacing w:val="0"/>
          <w:lang w:eastAsia="zh-CN"/>
        </w:rPr>
        <w:fldChar w:fldCharType="end"/>
      </w:r>
      <w:r>
        <w:rPr>
          <w:rFonts w:hint="eastAsia"/>
          <w:spacing w:val="0"/>
          <w:lang w:val="en-US" w:eastAsia="zh-CN"/>
        </w:rPr>
        <w:t>0</w:t>
      </w:r>
    </w:p>
    <w:p w14:paraId="683DC084">
      <w:pPr>
        <w:pStyle w:val="19"/>
        <w:tabs>
          <w:tab w:val="right" w:leader="dot" w:pos="9354"/>
        </w:tabs>
        <w:rPr>
          <w:rFonts w:hint="default"/>
          <w:spacing w:val="0"/>
          <w:lang w:val="en-US"/>
        </w:rPr>
      </w:pPr>
      <w:r>
        <w:rPr>
          <w:rFonts w:hint="eastAsia"/>
          <w:spacing w:val="0"/>
          <w:lang w:eastAsia="zh-CN"/>
        </w:rPr>
        <w:fldChar w:fldCharType="begin"/>
      </w:r>
      <w:r>
        <w:rPr>
          <w:rFonts w:hint="eastAsia"/>
          <w:spacing w:val="0"/>
          <w:lang w:eastAsia="zh-CN"/>
        </w:rPr>
        <w:instrText xml:space="preserve"> HYPERLINK \l _Toc10796 </w:instrText>
      </w:r>
      <w:r>
        <w:rPr>
          <w:rFonts w:hint="eastAsia"/>
          <w:spacing w:val="0"/>
          <w:lang w:eastAsia="zh-CN"/>
        </w:rPr>
        <w:fldChar w:fldCharType="separate"/>
      </w:r>
      <w:r>
        <w:rPr>
          <w:rFonts w:hint="eastAsia" w:ascii="黑体" w:eastAsia="黑体"/>
          <w:i w:val="0"/>
          <w:spacing w:val="0"/>
        </w:rPr>
        <w:t>11</w:t>
      </w:r>
      <w:r>
        <w:rPr>
          <w:rFonts w:hint="eastAsia" w:ascii="黑体" w:eastAsia="黑体"/>
          <w:i w:val="0"/>
          <w:spacing w:val="0"/>
          <w:lang w:eastAsia="zh-CN"/>
        </w:rPr>
        <w:t xml:space="preserve"> </w:t>
      </w:r>
      <w:r>
        <w:rPr>
          <w:rFonts w:hint="eastAsia" w:ascii="黑体" w:eastAsia="黑体"/>
          <w:i w:val="0"/>
          <w:spacing w:val="0"/>
        </w:rPr>
        <w:t xml:space="preserve"> </w:t>
      </w:r>
      <w:r>
        <w:rPr>
          <w:rFonts w:hint="eastAsia"/>
          <w:spacing w:val="0"/>
          <w:lang w:val="en-US" w:eastAsia="zh-CN"/>
        </w:rPr>
        <w:t>档案管理</w:t>
      </w:r>
      <w:r>
        <w:rPr>
          <w:spacing w:val="0"/>
        </w:rPr>
        <w:tab/>
      </w:r>
      <w:r>
        <w:rPr>
          <w:rFonts w:hint="eastAsia"/>
          <w:spacing w:val="0"/>
          <w:lang w:val="en-US" w:eastAsia="zh-CN"/>
        </w:rPr>
        <w:t>1</w:t>
      </w:r>
      <w:r>
        <w:rPr>
          <w:rFonts w:hint="eastAsia"/>
          <w:spacing w:val="0"/>
          <w:lang w:eastAsia="zh-CN"/>
        </w:rPr>
        <w:fldChar w:fldCharType="end"/>
      </w:r>
      <w:r>
        <w:rPr>
          <w:rFonts w:hint="eastAsia"/>
          <w:spacing w:val="0"/>
          <w:lang w:val="en-US" w:eastAsia="zh-CN"/>
        </w:rPr>
        <w:t>0</w:t>
      </w:r>
    </w:p>
    <w:p w14:paraId="36D07D15">
      <w:pPr>
        <w:pStyle w:val="19"/>
        <w:tabs>
          <w:tab w:val="right" w:leader="dot" w:pos="9354"/>
        </w:tabs>
        <w:rPr>
          <w:rFonts w:hint="default"/>
          <w:spacing w:val="0"/>
          <w:lang w:val="en-US"/>
        </w:rPr>
      </w:pPr>
      <w:r>
        <w:rPr>
          <w:rFonts w:hint="eastAsia"/>
          <w:spacing w:val="0"/>
          <w:lang w:eastAsia="zh-CN"/>
        </w:rPr>
        <w:fldChar w:fldCharType="begin"/>
      </w:r>
      <w:r>
        <w:rPr>
          <w:rFonts w:hint="eastAsia"/>
          <w:spacing w:val="0"/>
          <w:lang w:eastAsia="zh-CN"/>
        </w:rPr>
        <w:instrText xml:space="preserve"> HYPERLINK \l _Toc17368 </w:instrText>
      </w:r>
      <w:r>
        <w:rPr>
          <w:rFonts w:hint="eastAsia"/>
          <w:spacing w:val="0"/>
          <w:lang w:eastAsia="zh-CN"/>
        </w:rPr>
        <w:fldChar w:fldCharType="separate"/>
      </w:r>
      <w:r>
        <w:rPr>
          <w:rFonts w:hint="eastAsia" w:ascii="黑体" w:eastAsia="黑体"/>
          <w:i w:val="0"/>
          <w:spacing w:val="0"/>
        </w:rPr>
        <w:t>12</w:t>
      </w:r>
      <w:r>
        <w:rPr>
          <w:rFonts w:hint="eastAsia" w:ascii="黑体" w:eastAsia="黑体"/>
          <w:i w:val="0"/>
          <w:spacing w:val="0"/>
          <w:lang w:eastAsia="zh-CN"/>
        </w:rPr>
        <w:t xml:space="preserve"> </w:t>
      </w:r>
      <w:r>
        <w:rPr>
          <w:rFonts w:hint="eastAsia" w:ascii="黑体" w:eastAsia="黑体"/>
          <w:i w:val="0"/>
          <w:spacing w:val="0"/>
        </w:rPr>
        <w:t xml:space="preserve"> </w:t>
      </w:r>
      <w:r>
        <w:rPr>
          <w:rFonts w:hint="eastAsia"/>
          <w:spacing w:val="0"/>
        </w:rPr>
        <w:t>动态管理</w:t>
      </w:r>
      <w:r>
        <w:rPr>
          <w:spacing w:val="0"/>
        </w:rPr>
        <w:tab/>
      </w:r>
      <w:r>
        <w:rPr>
          <w:rFonts w:hint="eastAsia"/>
          <w:spacing w:val="0"/>
          <w:lang w:val="en-US" w:eastAsia="zh-CN"/>
        </w:rPr>
        <w:t>1</w:t>
      </w:r>
      <w:r>
        <w:rPr>
          <w:rFonts w:hint="eastAsia"/>
          <w:spacing w:val="0"/>
          <w:lang w:eastAsia="zh-CN"/>
        </w:rPr>
        <w:fldChar w:fldCharType="end"/>
      </w:r>
      <w:r>
        <w:rPr>
          <w:rFonts w:hint="eastAsia"/>
          <w:spacing w:val="0"/>
          <w:lang w:val="en-US" w:eastAsia="zh-CN"/>
        </w:rPr>
        <w:t>1</w:t>
      </w:r>
    </w:p>
    <w:p w14:paraId="41C3C70F">
      <w:pPr>
        <w:pStyle w:val="19"/>
        <w:tabs>
          <w:tab w:val="right" w:leader="dot" w:pos="9354"/>
        </w:tabs>
        <w:rPr>
          <w:rFonts w:hint="default"/>
          <w:spacing w:val="0"/>
          <w:lang w:val="en-US"/>
        </w:rPr>
      </w:pPr>
      <w:r>
        <w:rPr>
          <w:rFonts w:hint="eastAsia"/>
          <w:spacing w:val="0"/>
          <w:lang w:eastAsia="zh-CN"/>
        </w:rPr>
        <w:fldChar w:fldCharType="begin"/>
      </w:r>
      <w:r>
        <w:rPr>
          <w:rFonts w:hint="eastAsia"/>
          <w:spacing w:val="0"/>
          <w:lang w:eastAsia="zh-CN"/>
        </w:rPr>
        <w:instrText xml:space="preserve"> HYPERLINK \l _Toc29755 </w:instrText>
      </w:r>
      <w:r>
        <w:rPr>
          <w:rFonts w:hint="eastAsia"/>
          <w:spacing w:val="0"/>
          <w:lang w:eastAsia="zh-CN"/>
        </w:rPr>
        <w:fldChar w:fldCharType="separate"/>
      </w:r>
      <w:r>
        <w:rPr>
          <w:rFonts w:hint="eastAsia"/>
          <w:spacing w:val="0"/>
        </w:rPr>
        <w:t>附录A</w:t>
      </w:r>
      <w:r>
        <w:rPr>
          <w:spacing w:val="0"/>
        </w:rPr>
        <w:t xml:space="preserve"> </w:t>
      </w:r>
      <w:r>
        <w:rPr>
          <w:rFonts w:hint="eastAsia"/>
          <w:spacing w:val="0"/>
        </w:rPr>
        <w:t>（资料性</w:t>
      </w:r>
      <w:r>
        <w:rPr>
          <w:rFonts w:hint="eastAsia"/>
          <w:spacing w:val="0"/>
          <w:lang w:eastAsia="zh-CN"/>
        </w:rPr>
        <w:t xml:space="preserve"> </w:t>
      </w:r>
      <w:r>
        <w:rPr>
          <w:rFonts w:hint="eastAsia"/>
          <w:spacing w:val="0"/>
        </w:rPr>
        <w:t xml:space="preserve">） </w:t>
      </w:r>
      <w:r>
        <w:rPr>
          <w:rFonts w:hint="eastAsia"/>
          <w:spacing w:val="0"/>
          <w:lang w:eastAsia="zh-CN"/>
        </w:rPr>
        <w:t>拍卖</w:t>
      </w:r>
      <w:r>
        <w:rPr>
          <w:rFonts w:hint="eastAsia"/>
          <w:spacing w:val="0"/>
        </w:rPr>
        <w:t>企业信用评价申报表</w:t>
      </w:r>
      <w:r>
        <w:rPr>
          <w:spacing w:val="0"/>
        </w:rPr>
        <w:tab/>
      </w:r>
      <w:r>
        <w:rPr>
          <w:rFonts w:hint="eastAsia"/>
          <w:spacing w:val="0"/>
          <w:lang w:val="en-US" w:eastAsia="zh-CN"/>
        </w:rPr>
        <w:t>1</w:t>
      </w:r>
      <w:r>
        <w:rPr>
          <w:rFonts w:hint="eastAsia"/>
          <w:spacing w:val="0"/>
          <w:lang w:eastAsia="zh-CN"/>
        </w:rPr>
        <w:fldChar w:fldCharType="end"/>
      </w:r>
      <w:r>
        <w:rPr>
          <w:rFonts w:hint="eastAsia"/>
          <w:spacing w:val="0"/>
          <w:lang w:val="en-US" w:eastAsia="zh-CN"/>
        </w:rPr>
        <w:t>3</w:t>
      </w:r>
    </w:p>
    <w:p w14:paraId="5131894F">
      <w:pPr>
        <w:pStyle w:val="19"/>
        <w:tabs>
          <w:tab w:val="right" w:leader="dot" w:pos="9354"/>
        </w:tabs>
        <w:rPr>
          <w:spacing w:val="0"/>
        </w:rPr>
      </w:pPr>
      <w:r>
        <w:rPr>
          <w:rFonts w:hint="eastAsia"/>
          <w:spacing w:val="0"/>
          <w:lang w:eastAsia="zh-CN"/>
        </w:rPr>
        <w:fldChar w:fldCharType="begin"/>
      </w:r>
      <w:r>
        <w:rPr>
          <w:rFonts w:hint="eastAsia"/>
          <w:spacing w:val="0"/>
          <w:lang w:eastAsia="zh-CN"/>
        </w:rPr>
        <w:instrText xml:space="preserve"> HYPERLINK \l _Toc30161 </w:instrText>
      </w:r>
      <w:r>
        <w:rPr>
          <w:rFonts w:hint="eastAsia"/>
          <w:spacing w:val="0"/>
          <w:lang w:eastAsia="zh-CN"/>
        </w:rPr>
        <w:fldChar w:fldCharType="separate"/>
      </w:r>
      <w:r>
        <w:rPr>
          <w:rFonts w:hint="eastAsia"/>
          <w:spacing w:val="0"/>
        </w:rPr>
        <w:t>附录B</w:t>
      </w:r>
      <w:r>
        <w:rPr>
          <w:spacing w:val="0"/>
        </w:rPr>
        <w:t xml:space="preserve"> </w:t>
      </w:r>
      <w:r>
        <w:rPr>
          <w:rFonts w:hint="eastAsia"/>
          <w:spacing w:val="0"/>
        </w:rPr>
        <w:t>（规范性</w:t>
      </w:r>
      <w:r>
        <w:rPr>
          <w:rFonts w:hint="eastAsia"/>
          <w:spacing w:val="0"/>
          <w:lang w:eastAsia="zh-CN"/>
        </w:rPr>
        <w:t xml:space="preserve"> </w:t>
      </w:r>
      <w:r>
        <w:rPr>
          <w:rFonts w:hint="eastAsia"/>
          <w:spacing w:val="0"/>
        </w:rPr>
        <w:t xml:space="preserve">） </w:t>
      </w:r>
      <w:r>
        <w:rPr>
          <w:rFonts w:hint="eastAsia"/>
          <w:spacing w:val="0"/>
          <w:lang w:eastAsia="zh-CN"/>
        </w:rPr>
        <w:t>拍卖</w:t>
      </w:r>
      <w:r>
        <w:rPr>
          <w:rFonts w:hint="eastAsia"/>
          <w:spacing w:val="0"/>
        </w:rPr>
        <w:t>企业信用评价表及评分细则</w:t>
      </w:r>
      <w:r>
        <w:rPr>
          <w:spacing w:val="0"/>
        </w:rPr>
        <w:tab/>
      </w:r>
      <w:r>
        <w:rPr>
          <w:spacing w:val="0"/>
        </w:rPr>
        <w:fldChar w:fldCharType="begin"/>
      </w:r>
      <w:r>
        <w:rPr>
          <w:spacing w:val="0"/>
        </w:rPr>
        <w:instrText xml:space="preserve"> PAGEREF _Toc30161 \h </w:instrText>
      </w:r>
      <w:r>
        <w:rPr>
          <w:spacing w:val="0"/>
        </w:rPr>
        <w:fldChar w:fldCharType="separate"/>
      </w:r>
      <w:r>
        <w:rPr>
          <w:spacing w:val="0"/>
        </w:rPr>
        <w:t>13</w:t>
      </w:r>
      <w:r>
        <w:rPr>
          <w:spacing w:val="0"/>
        </w:rPr>
        <w:fldChar w:fldCharType="end"/>
      </w:r>
      <w:r>
        <w:rPr>
          <w:rFonts w:hint="eastAsia"/>
          <w:spacing w:val="0"/>
          <w:lang w:eastAsia="zh-CN"/>
        </w:rPr>
        <w:fldChar w:fldCharType="end"/>
      </w:r>
    </w:p>
    <w:p w14:paraId="4A105070">
      <w:pPr>
        <w:pStyle w:val="19"/>
        <w:tabs>
          <w:tab w:val="right" w:leader="dot" w:pos="9354"/>
        </w:tabs>
        <w:rPr>
          <w:spacing w:val="0"/>
        </w:rPr>
      </w:pPr>
      <w:r>
        <w:rPr>
          <w:rFonts w:hint="eastAsia"/>
          <w:spacing w:val="0"/>
          <w:lang w:eastAsia="zh-CN"/>
        </w:rPr>
        <w:fldChar w:fldCharType="begin"/>
      </w:r>
      <w:r>
        <w:rPr>
          <w:rFonts w:hint="eastAsia"/>
          <w:spacing w:val="0"/>
          <w:lang w:eastAsia="zh-CN"/>
        </w:rPr>
        <w:instrText xml:space="preserve"> HYPERLINK \l _Toc22532 </w:instrText>
      </w:r>
      <w:r>
        <w:rPr>
          <w:rFonts w:hint="eastAsia"/>
          <w:spacing w:val="0"/>
          <w:lang w:eastAsia="zh-CN"/>
        </w:rPr>
        <w:fldChar w:fldCharType="separate"/>
      </w:r>
      <w:r>
        <w:rPr>
          <w:rFonts w:hint="eastAsia"/>
          <w:spacing w:val="0"/>
        </w:rPr>
        <w:t>附录C</w:t>
      </w:r>
      <w:r>
        <w:rPr>
          <w:spacing w:val="0"/>
        </w:rPr>
        <w:t xml:space="preserve"> </w:t>
      </w:r>
      <w:r>
        <w:rPr>
          <w:rFonts w:hint="eastAsia"/>
          <w:spacing w:val="0"/>
        </w:rPr>
        <w:t>（资料性</w:t>
      </w:r>
      <w:r>
        <w:rPr>
          <w:rFonts w:hint="eastAsia"/>
          <w:spacing w:val="0"/>
          <w:lang w:eastAsia="zh-CN"/>
        </w:rPr>
        <w:t xml:space="preserve"> </w:t>
      </w:r>
      <w:r>
        <w:rPr>
          <w:rFonts w:hint="eastAsia"/>
          <w:spacing w:val="0"/>
        </w:rPr>
        <w:t xml:space="preserve">） </w:t>
      </w:r>
      <w:r>
        <w:rPr>
          <w:rFonts w:hint="eastAsia"/>
          <w:spacing w:val="0"/>
          <w:lang w:eastAsia="zh-CN"/>
        </w:rPr>
        <w:t>拍卖</w:t>
      </w:r>
      <w:r>
        <w:rPr>
          <w:rFonts w:hint="eastAsia"/>
          <w:spacing w:val="0"/>
        </w:rPr>
        <w:t>企业信用评价认定审批表</w:t>
      </w:r>
      <w:r>
        <w:rPr>
          <w:spacing w:val="0"/>
        </w:rPr>
        <w:tab/>
      </w:r>
      <w:r>
        <w:rPr>
          <w:spacing w:val="0"/>
        </w:rPr>
        <w:fldChar w:fldCharType="begin"/>
      </w:r>
      <w:r>
        <w:rPr>
          <w:spacing w:val="0"/>
        </w:rPr>
        <w:instrText xml:space="preserve"> PAGEREF _Toc22532 \h </w:instrText>
      </w:r>
      <w:r>
        <w:rPr>
          <w:spacing w:val="0"/>
        </w:rPr>
        <w:fldChar w:fldCharType="separate"/>
      </w:r>
      <w:r>
        <w:rPr>
          <w:spacing w:val="0"/>
        </w:rPr>
        <w:t>27</w:t>
      </w:r>
      <w:r>
        <w:rPr>
          <w:spacing w:val="0"/>
        </w:rPr>
        <w:fldChar w:fldCharType="end"/>
      </w:r>
      <w:r>
        <w:rPr>
          <w:rFonts w:hint="eastAsia"/>
          <w:spacing w:val="0"/>
          <w:lang w:eastAsia="zh-CN"/>
        </w:rPr>
        <w:fldChar w:fldCharType="end"/>
      </w:r>
    </w:p>
    <w:p w14:paraId="58437753">
      <w:pPr>
        <w:pStyle w:val="19"/>
        <w:tabs>
          <w:tab w:val="right" w:leader="dot" w:pos="9354"/>
        </w:tabs>
        <w:rPr>
          <w:spacing w:val="0"/>
        </w:rPr>
      </w:pPr>
      <w:r>
        <w:rPr>
          <w:rFonts w:hint="eastAsia"/>
          <w:spacing w:val="0"/>
          <w:lang w:eastAsia="zh-CN"/>
        </w:rPr>
        <w:fldChar w:fldCharType="begin"/>
      </w:r>
      <w:r>
        <w:rPr>
          <w:rFonts w:hint="eastAsia"/>
          <w:spacing w:val="0"/>
          <w:lang w:eastAsia="zh-CN"/>
        </w:rPr>
        <w:instrText xml:space="preserve"> HYPERLINK \l _Toc24312 </w:instrText>
      </w:r>
      <w:r>
        <w:rPr>
          <w:rFonts w:hint="eastAsia"/>
          <w:spacing w:val="0"/>
          <w:lang w:eastAsia="zh-CN"/>
        </w:rPr>
        <w:fldChar w:fldCharType="separate"/>
      </w:r>
      <w:r>
        <w:rPr>
          <w:rFonts w:hint="eastAsia"/>
          <w:spacing w:val="0"/>
        </w:rPr>
        <w:t>参考文献</w:t>
      </w:r>
      <w:r>
        <w:rPr>
          <w:spacing w:val="0"/>
        </w:rPr>
        <w:tab/>
      </w:r>
      <w:r>
        <w:rPr>
          <w:spacing w:val="0"/>
        </w:rPr>
        <w:fldChar w:fldCharType="begin"/>
      </w:r>
      <w:r>
        <w:rPr>
          <w:spacing w:val="0"/>
        </w:rPr>
        <w:instrText xml:space="preserve"> PAGEREF _Toc24312 \h </w:instrText>
      </w:r>
      <w:r>
        <w:rPr>
          <w:spacing w:val="0"/>
        </w:rPr>
        <w:fldChar w:fldCharType="separate"/>
      </w:r>
      <w:r>
        <w:rPr>
          <w:spacing w:val="0"/>
        </w:rPr>
        <w:t>28</w:t>
      </w:r>
      <w:r>
        <w:rPr>
          <w:spacing w:val="0"/>
        </w:rPr>
        <w:fldChar w:fldCharType="end"/>
      </w:r>
      <w:r>
        <w:rPr>
          <w:rFonts w:hint="eastAsia"/>
          <w:spacing w:val="0"/>
          <w:lang w:eastAsia="zh-CN"/>
        </w:rPr>
        <w:fldChar w:fldCharType="end"/>
      </w:r>
    </w:p>
    <w:p w14:paraId="30EDD5A2">
      <w:pPr>
        <w:pStyle w:val="102"/>
        <w:bidi w:val="0"/>
        <w:rPr>
          <w:rFonts w:hint="eastAsia"/>
          <w:spacing w:val="0"/>
          <w:lang w:eastAsia="zh-CN"/>
        </w:rPr>
        <w:sectPr>
          <w:headerReference r:id="rId10" w:type="default"/>
          <w:footerReference r:id="rId12" w:type="default"/>
          <w:headerReference r:id="rId11" w:type="even"/>
          <w:footerReference r:id="rId13" w:type="even"/>
          <w:pgSz w:w="11906" w:h="16838"/>
          <w:pgMar w:top="1928" w:right="1134" w:bottom="1134" w:left="1134" w:header="1418" w:footer="1134" w:gutter="284"/>
          <w:pgNumType w:fmt="upperRoman" w:start="1"/>
          <w:cols w:space="425" w:num="1"/>
          <w:formProt w:val="0"/>
          <w:docGrid w:linePitch="312" w:charSpace="0"/>
        </w:sectPr>
      </w:pPr>
      <w:r>
        <w:rPr>
          <w:rFonts w:hint="eastAsia"/>
          <w:spacing w:val="0"/>
          <w:lang w:eastAsia="zh-CN"/>
        </w:rPr>
        <w:fldChar w:fldCharType="end"/>
      </w:r>
    </w:p>
    <w:bookmarkEnd w:id="21"/>
    <w:p w14:paraId="5D6ECF8D">
      <w:pPr>
        <w:pStyle w:val="100"/>
        <w:spacing w:before="560" w:after="360"/>
      </w:pPr>
      <w:bookmarkStart w:id="24" w:name="_Toc19390"/>
      <w:bookmarkStart w:id="25" w:name="BookMark2"/>
      <w:r>
        <w:rPr>
          <w:rFonts w:hint="eastAsia"/>
          <w:spacing w:val="320"/>
        </w:rPr>
        <w:t>前</w:t>
      </w:r>
      <w:r>
        <w:rPr>
          <w:rFonts w:hint="eastAsia"/>
        </w:rPr>
        <w:t>言</w:t>
      </w:r>
      <w:bookmarkEnd w:id="22"/>
      <w:bookmarkEnd w:id="23"/>
      <w:bookmarkEnd w:id="24"/>
    </w:p>
    <w:p w14:paraId="7F1D3F5E">
      <w:pPr>
        <w:pStyle w:val="35"/>
        <w:ind w:firstLine="420"/>
      </w:pPr>
      <w:r>
        <w:rPr>
          <w:rFonts w:hint="eastAsia"/>
        </w:rPr>
        <w:t>本文件按照GB/T 1.1—2020《标准化工作导则  第1部分：标准化文件的结构和起草规则》的规定起草。</w:t>
      </w:r>
    </w:p>
    <w:p w14:paraId="2014EF9D">
      <w:pPr>
        <w:pStyle w:val="35"/>
        <w:ind w:firstLine="420"/>
      </w:pPr>
      <w:r>
        <w:rPr>
          <w:rFonts w:hint="eastAsia"/>
        </w:rPr>
        <w:t>请注意本文件的某些内容可能涉及专利。本文件的发布机构不承担识别专利的责任。</w:t>
      </w:r>
    </w:p>
    <w:p w14:paraId="5E391441">
      <w:pPr>
        <w:pStyle w:val="35"/>
        <w:ind w:firstLine="420"/>
      </w:pPr>
      <w:r>
        <w:rPr>
          <w:rFonts w:hint="eastAsia"/>
        </w:rPr>
        <w:t>本文件由湖南</w:t>
      </w:r>
      <w:r>
        <w:rPr>
          <w:rFonts w:hint="eastAsia"/>
          <w:lang w:eastAsia="zh-CN"/>
        </w:rPr>
        <w:t>省拍卖行业</w:t>
      </w:r>
      <w:r>
        <w:rPr>
          <w:rFonts w:hint="eastAsia"/>
          <w:lang w:val="en-US" w:eastAsia="zh-CN"/>
        </w:rPr>
        <w:t>协</w:t>
      </w:r>
      <w:r>
        <w:rPr>
          <w:rFonts w:hint="eastAsia"/>
        </w:rPr>
        <w:t>会提出。</w:t>
      </w:r>
    </w:p>
    <w:p w14:paraId="4ECAE09F">
      <w:pPr>
        <w:pStyle w:val="35"/>
        <w:ind w:firstLine="420"/>
      </w:pPr>
      <w:r>
        <w:rPr>
          <w:rFonts w:hint="eastAsia"/>
        </w:rPr>
        <w:t>本文件由湖南省信用管理协会归口。</w:t>
      </w:r>
    </w:p>
    <w:p w14:paraId="581819E3">
      <w:pPr>
        <w:pStyle w:val="35"/>
        <w:ind w:firstLine="420"/>
      </w:pPr>
      <w:r>
        <w:rPr>
          <w:rFonts w:hint="eastAsia"/>
        </w:rPr>
        <w:t>本文件起草单位：湖南省</w:t>
      </w:r>
      <w:r>
        <w:rPr>
          <w:rFonts w:hint="eastAsia"/>
          <w:lang w:eastAsia="zh-CN"/>
        </w:rPr>
        <w:t>拍卖行业协会</w:t>
      </w:r>
      <w:r>
        <w:rPr>
          <w:rFonts w:hint="eastAsia"/>
        </w:rPr>
        <w:t>、湖南省信用管理协会、长沙信发拍卖有限公司</w:t>
      </w:r>
      <w:r>
        <w:rPr>
          <w:rFonts w:hint="eastAsia"/>
          <w:lang w:eastAsia="zh-CN"/>
        </w:rPr>
        <w:t>、湖南赛德拍卖有限公司、常德市拍卖行业协会、株洲拍卖有限公司、湖南鑫盛拍卖有限责任公司、湖南万和拍卖有限公司、湖南联合拍卖有限公司、湖南天一拍卖有限公司、湖南湘军拍卖有限公司、湖南省高盛拍卖有限公司、湖南省拍卖行有限责任公司、湖南鹏飞拍卖有限公司</w:t>
      </w:r>
      <w:r>
        <w:rPr>
          <w:rFonts w:hint="eastAsia"/>
        </w:rPr>
        <w:t>。</w:t>
      </w:r>
    </w:p>
    <w:p w14:paraId="2FA60969">
      <w:pPr>
        <w:pStyle w:val="35"/>
        <w:ind w:firstLine="420"/>
      </w:pPr>
      <w:r>
        <w:rPr>
          <w:rFonts w:hint="eastAsia"/>
        </w:rPr>
        <w:t>本文件主要起草人：</w:t>
      </w:r>
      <w:r>
        <w:rPr>
          <w:rFonts w:hint="eastAsia"/>
          <w:lang w:val="en-US" w:eastAsia="zh-CN"/>
        </w:rPr>
        <w:t>盛海建</w:t>
      </w:r>
      <w:r>
        <w:rPr>
          <w:rFonts w:hint="eastAsia"/>
        </w:rPr>
        <w:t>、王焕军、陈小桥</w:t>
      </w:r>
      <w:r>
        <w:rPr>
          <w:rFonts w:hint="eastAsia"/>
          <w:lang w:eastAsia="zh-CN"/>
        </w:rPr>
        <w:t>、刘绘、彭会明、林宏洲、李孜、李敢、王旭辉、赵  艺、张军、虢利平、孙艳、唐刚平</w:t>
      </w:r>
      <w:r>
        <w:rPr>
          <w:rFonts w:hint="eastAsia"/>
        </w:rPr>
        <w:t>。</w:t>
      </w:r>
    </w:p>
    <w:p w14:paraId="0FC3C2DC">
      <w:pPr>
        <w:pStyle w:val="35"/>
        <w:ind w:firstLine="420"/>
        <w:sectPr>
          <w:headerReference r:id="rId14" w:type="default"/>
          <w:footerReference r:id="rId16" w:type="default"/>
          <w:headerReference r:id="rId15" w:type="even"/>
          <w:footerReference r:id="rId17" w:type="even"/>
          <w:pgSz w:w="11906" w:h="16838"/>
          <w:pgMar w:top="1928" w:right="1134" w:bottom="1134" w:left="1134" w:header="1418" w:footer="1134" w:gutter="284"/>
          <w:pgNumType w:fmt="upperRoman"/>
          <w:cols w:space="425" w:num="1"/>
          <w:formProt w:val="0"/>
          <w:docGrid w:linePitch="312" w:charSpace="0"/>
        </w:sectPr>
      </w:pPr>
      <w:r>
        <w:rPr>
          <w:rFonts w:hint="eastAsia"/>
        </w:rPr>
        <w:t>本文件为首次发布。</w:t>
      </w:r>
    </w:p>
    <w:bookmarkEnd w:id="25"/>
    <w:p w14:paraId="6A61AE9E">
      <w:pPr>
        <w:pStyle w:val="100"/>
        <w:spacing w:after="360"/>
        <w:rPr>
          <w:rFonts w:hint="eastAsia"/>
        </w:rPr>
      </w:pPr>
      <w:bookmarkStart w:id="26" w:name="_Toc14102"/>
      <w:bookmarkStart w:id="27" w:name="_Toc19337"/>
      <w:bookmarkStart w:id="28" w:name="_Toc21406"/>
      <w:bookmarkStart w:id="29" w:name="BookMark3"/>
      <w:r>
        <w:rPr>
          <w:rFonts w:hint="eastAsia"/>
          <w:spacing w:val="320"/>
        </w:rPr>
        <w:t>引</w:t>
      </w:r>
      <w:r>
        <w:rPr>
          <w:rFonts w:hint="eastAsia"/>
        </w:rPr>
        <w:t>言</w:t>
      </w:r>
      <w:bookmarkEnd w:id="26"/>
      <w:bookmarkEnd w:id="27"/>
      <w:bookmarkEnd w:id="28"/>
    </w:p>
    <w:p w14:paraId="3E05603B">
      <w:pPr>
        <w:pStyle w:val="35"/>
        <w:ind w:firstLine="420"/>
        <w:rPr>
          <w:rFonts w:hint="eastAsia"/>
        </w:rPr>
      </w:pPr>
      <w:r>
        <w:rPr>
          <w:rFonts w:hint="eastAsia"/>
        </w:rPr>
        <w:t>为贯彻落实党中央、国务院关于社会信用体系建设的决策部署，响应《国务院办公厅关于建立企业信用状况综合评价体系的实施方案》（国办发〔2026〕</w:t>
      </w:r>
      <w:r>
        <w:rPr>
          <w:rFonts w:hint="eastAsia"/>
          <w:lang w:val="en-US" w:eastAsia="zh-CN"/>
        </w:rPr>
        <w:t>8</w:t>
      </w:r>
      <w:r>
        <w:rPr>
          <w:rFonts w:hint="eastAsia"/>
        </w:rPr>
        <w:t>号）要求，推动构建以信用为基础的新型监管机制，根据《中华人民共和国标准化法》《团体标准管理规定》等相关法律法规，制定本文件。</w:t>
      </w:r>
    </w:p>
    <w:p w14:paraId="7421A889">
      <w:pPr>
        <w:pStyle w:val="35"/>
        <w:ind w:firstLine="420"/>
        <w:rPr>
          <w:rFonts w:hint="eastAsia"/>
        </w:rPr>
      </w:pPr>
      <w:r>
        <w:rPr>
          <w:rFonts w:hint="eastAsia"/>
        </w:rPr>
        <w:t>当前，拍卖行业市场化、数字化程度持续提升，网络拍卖、电子竞价等新业态快速发展，但行业信用评价缺乏统一标准，普遍存在评价维度单一、指标零散、判定标准模糊、信息化手段不足等问题，守信激励与失信约束机制落地缺少标准化支撑，制约了公平竞争市场环境的构建和拍卖行业的高质量发展。</w:t>
      </w:r>
    </w:p>
    <w:p w14:paraId="49592613">
      <w:pPr>
        <w:pStyle w:val="35"/>
        <w:ind w:firstLine="420"/>
        <w:rPr>
          <w:rFonts w:hint="eastAsia"/>
        </w:rPr>
      </w:pPr>
      <w:r>
        <w:rPr>
          <w:rFonts w:hint="eastAsia"/>
        </w:rPr>
        <w:t>本文件立足拍卖行业运营特性与发展趋势，统筹企业</w:t>
      </w:r>
      <w:r>
        <w:rPr>
          <w:rFonts w:hint="eastAsia"/>
          <w:lang w:val="en-US" w:eastAsia="zh-CN"/>
        </w:rPr>
        <w:t>的</w:t>
      </w:r>
      <w:r>
        <w:rPr>
          <w:rFonts w:hint="eastAsia"/>
        </w:rPr>
        <w:t>基础信用、经营能力、履约行为、公共信用、</w:t>
      </w:r>
      <w:r>
        <w:rPr>
          <w:rFonts w:hint="eastAsia"/>
          <w:lang w:val="en-US" w:eastAsia="zh-CN"/>
        </w:rPr>
        <w:t>社会</w:t>
      </w:r>
      <w:r>
        <w:rPr>
          <w:rFonts w:hint="eastAsia"/>
        </w:rPr>
        <w:t>责任、创新发展等核心维度，统一信用评价原则、评价对象与条件、评价指标、评价机构、信用等级、评价程序、结果应用、档案管理、动态管理</w:t>
      </w:r>
      <w:r>
        <w:rPr>
          <w:rFonts w:hint="eastAsia"/>
          <w:lang w:val="en-US" w:eastAsia="zh-CN"/>
        </w:rPr>
        <w:t>等</w:t>
      </w:r>
      <w:r>
        <w:rPr>
          <w:rFonts w:hint="eastAsia"/>
        </w:rPr>
        <w:t>规则，旨在建立客观、科学、可落地的行业信用评价体系。</w:t>
      </w:r>
    </w:p>
    <w:p w14:paraId="0D26986E">
      <w:pPr>
        <w:pStyle w:val="35"/>
        <w:ind w:firstLine="420"/>
        <w:sectPr>
          <w:headerReference r:id="rId18" w:type="default"/>
          <w:footerReference r:id="rId20" w:type="default"/>
          <w:headerReference r:id="rId19" w:type="even"/>
          <w:footerReference r:id="rId21" w:type="even"/>
          <w:pgSz w:w="11906" w:h="16838"/>
          <w:pgMar w:top="1928" w:right="1134" w:bottom="1134" w:left="1134" w:header="1418" w:footer="1134" w:gutter="284"/>
          <w:pgNumType w:fmt="upperRoman"/>
          <w:cols w:space="425" w:num="1"/>
          <w:formProt w:val="0"/>
          <w:docGrid w:linePitch="312" w:charSpace="0"/>
        </w:sectPr>
      </w:pPr>
      <w:r>
        <w:rPr>
          <w:rFonts w:hint="eastAsia"/>
        </w:rPr>
        <w:t>本文件的发布实施，将为政府部门实施信用监管、委托人及竞买人择优遴选拍卖企业、金融机构开展授信评估、企业完善信用自律提供标准化依据，引导行业诚信经营，赋能拍卖行业规范</w:t>
      </w:r>
      <w:r>
        <w:rPr>
          <w:rFonts w:hint="eastAsia"/>
          <w:lang w:val="en-US" w:eastAsia="zh-CN"/>
        </w:rPr>
        <w:t>化建设</w:t>
      </w:r>
      <w:r>
        <w:rPr>
          <w:rFonts w:hint="eastAsia"/>
        </w:rPr>
        <w:t>，助力社会信用体系建设高质量发展。</w:t>
      </w:r>
    </w:p>
    <w:bookmarkEnd w:id="29"/>
    <w:p w14:paraId="1CB2791F">
      <w:pPr>
        <w:spacing w:line="20" w:lineRule="exact"/>
        <w:jc w:val="center"/>
        <w:rPr>
          <w:rFonts w:hint="eastAsia" w:ascii="黑体" w:hAnsi="黑体" w:eastAsia="黑体"/>
          <w:sz w:val="32"/>
          <w:szCs w:val="32"/>
        </w:rPr>
      </w:pPr>
      <w:bookmarkStart w:id="30" w:name="BookMark4"/>
    </w:p>
    <w:p w14:paraId="05DD66D8">
      <w:pPr>
        <w:spacing w:line="20" w:lineRule="exact"/>
        <w:jc w:val="center"/>
        <w:rPr>
          <w:rFonts w:hint="eastAsia" w:ascii="黑体" w:hAnsi="黑体" w:eastAsia="黑体"/>
          <w:sz w:val="32"/>
          <w:szCs w:val="32"/>
        </w:rPr>
      </w:pPr>
    </w:p>
    <w:sdt>
      <w:sdtPr>
        <w:tag w:val="NEW_STAND_NAME"/>
        <w:id w:val="595910757"/>
        <w:lock w:val="sdtLocked"/>
        <w:placeholder>
          <w:docPart w:val="9B3BEDB4F2724F9D81F4444A5CCE266D"/>
        </w:placeholder>
      </w:sdtPr>
      <w:sdtContent>
        <w:p w14:paraId="19BF1203">
          <w:pPr>
            <w:pStyle w:val="182"/>
            <w:bidi w:val="0"/>
            <w:spacing w:before="313" w:beforeLines="100" w:after="687" w:afterLines="220"/>
            <w:rPr>
              <w:rFonts w:hint="eastAsia"/>
            </w:rPr>
          </w:pPr>
          <w:bookmarkStart w:id="31" w:name="NEW_STAND_NAME"/>
          <w:r>
            <w:rPr>
              <w:rFonts w:hint="eastAsia"/>
              <w:lang w:eastAsia="zh-CN"/>
            </w:rPr>
            <w:t>拍卖企业信用评价规范</w:t>
          </w:r>
        </w:p>
      </w:sdtContent>
    </w:sdt>
    <w:bookmarkEnd w:id="31"/>
    <w:p w14:paraId="5222B0A4">
      <w:pPr>
        <w:pStyle w:val="42"/>
        <w:spacing w:before="240" w:after="240"/>
      </w:pPr>
      <w:bookmarkStart w:id="32" w:name="_Toc18178"/>
      <w:bookmarkStart w:id="33" w:name="_Toc97192964"/>
      <w:bookmarkStart w:id="34" w:name="_Toc20401"/>
      <w:bookmarkStart w:id="35" w:name="_Toc17233325"/>
      <w:bookmarkStart w:id="36" w:name="_Toc24884218"/>
      <w:bookmarkStart w:id="37" w:name="_Toc17233333"/>
      <w:bookmarkStart w:id="38" w:name="_Toc26986530"/>
      <w:bookmarkStart w:id="39" w:name="_Toc26986771"/>
      <w:bookmarkStart w:id="40" w:name="_Toc24884211"/>
      <w:bookmarkStart w:id="41" w:name="_Toc26718930"/>
      <w:bookmarkStart w:id="42" w:name="_Toc26648465"/>
      <w:bookmarkStart w:id="43" w:name="_Toc27800"/>
      <w:r>
        <w:rPr>
          <w:rFonts w:hint="eastAsia"/>
        </w:rPr>
        <w:t>范围</w:t>
      </w:r>
      <w:bookmarkEnd w:id="32"/>
      <w:bookmarkEnd w:id="33"/>
      <w:bookmarkEnd w:id="34"/>
      <w:bookmarkEnd w:id="35"/>
      <w:bookmarkEnd w:id="36"/>
      <w:bookmarkEnd w:id="37"/>
      <w:bookmarkEnd w:id="38"/>
      <w:bookmarkEnd w:id="39"/>
      <w:bookmarkEnd w:id="40"/>
      <w:bookmarkEnd w:id="41"/>
      <w:bookmarkEnd w:id="42"/>
      <w:bookmarkEnd w:id="43"/>
    </w:p>
    <w:p w14:paraId="2A5CDEFF">
      <w:pPr>
        <w:pStyle w:val="35"/>
        <w:ind w:firstLine="420"/>
        <w:rPr>
          <w:rFonts w:hint="eastAsia"/>
        </w:rPr>
      </w:pPr>
      <w:bookmarkStart w:id="44" w:name="_Toc17233326"/>
      <w:bookmarkStart w:id="45" w:name="_Toc17233334"/>
      <w:bookmarkStart w:id="46" w:name="_Toc24884212"/>
      <w:bookmarkStart w:id="47" w:name="_Toc26648466"/>
      <w:bookmarkStart w:id="48" w:name="_Toc24884219"/>
      <w:r>
        <w:rPr>
          <w:rFonts w:hint="eastAsia"/>
        </w:rPr>
        <w:t>本文件规定了拍卖企业信用评价的评价原则、评价对象与条件</w:t>
      </w:r>
      <w:r>
        <w:rPr>
          <w:rFonts w:hint="eastAsia"/>
          <w:lang w:eastAsia="zh-CN"/>
        </w:rPr>
        <w:t>、评价指标体系</w:t>
      </w:r>
      <w:r>
        <w:rPr>
          <w:rFonts w:hint="eastAsia"/>
        </w:rPr>
        <w:t>评价机构</w:t>
      </w:r>
      <w:r>
        <w:rPr>
          <w:rFonts w:hint="eastAsia"/>
          <w:lang w:eastAsia="zh-CN"/>
        </w:rPr>
        <w:t>、</w:t>
      </w:r>
      <w:r>
        <w:rPr>
          <w:rFonts w:hint="eastAsia"/>
        </w:rPr>
        <w:t>信用等级划分、评价程序、结果应用、档案管理、动态管理。</w:t>
      </w:r>
    </w:p>
    <w:p w14:paraId="1CF1A386">
      <w:pPr>
        <w:pStyle w:val="35"/>
        <w:ind w:firstLine="420"/>
      </w:pPr>
      <w:r>
        <w:rPr>
          <w:rFonts w:hint="eastAsia"/>
        </w:rPr>
        <w:t>本文件适用于湖南省行政区域内从事拍卖经营活动企业的信用评价工作</w:t>
      </w:r>
      <w:r>
        <w:rPr>
          <w:rFonts w:hint="eastAsia"/>
          <w:lang w:eastAsia="zh-CN"/>
        </w:rPr>
        <w:t>；在</w:t>
      </w:r>
      <w:r>
        <w:rPr>
          <w:rFonts w:hint="eastAsia"/>
        </w:rPr>
        <w:t>国内其他地区开展同类信用评价活动可参照使用。</w:t>
      </w:r>
    </w:p>
    <w:p w14:paraId="7D1B0A04">
      <w:pPr>
        <w:pStyle w:val="42"/>
        <w:spacing w:before="240" w:after="240"/>
      </w:pPr>
      <w:bookmarkStart w:id="49" w:name="_Toc17579"/>
      <w:bookmarkStart w:id="50" w:name="_Toc26986531"/>
      <w:bookmarkStart w:id="51" w:name="_Toc2642"/>
      <w:bookmarkStart w:id="52" w:name="_Toc97192965"/>
      <w:bookmarkStart w:id="53" w:name="_Toc26986772"/>
      <w:bookmarkStart w:id="54" w:name="_Toc7569"/>
      <w:bookmarkStart w:id="55" w:name="_Toc26718931"/>
      <w:r>
        <w:rPr>
          <w:rFonts w:hint="eastAsia"/>
        </w:rPr>
        <w:t>规范性引用文件</w:t>
      </w:r>
      <w:bookmarkEnd w:id="44"/>
      <w:bookmarkEnd w:id="45"/>
      <w:bookmarkEnd w:id="46"/>
      <w:bookmarkEnd w:id="47"/>
      <w:bookmarkEnd w:id="48"/>
      <w:bookmarkEnd w:id="49"/>
      <w:bookmarkEnd w:id="50"/>
      <w:bookmarkEnd w:id="51"/>
      <w:bookmarkEnd w:id="52"/>
      <w:bookmarkEnd w:id="53"/>
      <w:bookmarkEnd w:id="54"/>
      <w:bookmarkEnd w:id="55"/>
    </w:p>
    <w:sdt>
      <w:sdtPr>
        <w:rPr>
          <w:rFonts w:hint="eastAsia"/>
        </w:rPr>
        <w:id w:val="715848253"/>
        <w:placeholder>
          <w:docPart w:val="78956B8278AF41489B4C226600D2E8C4"/>
        </w:placeholder>
        <w:dropDownList>
          <w:listItem w:displayText="下列文件中的内容通过文中的规范性引用而构成本文件必不可少的条款。其中，注日期的引用文件，仅该日期对应的版本适用于本文件；不注日期的引用文件，其最新版本（包括所有的修改单）适用于本文件。" w:value="下列文件中的内容通过文中的规范性引用而构成本文件必不可少的条款。其中，注日期的引用文件，仅该日期对应的版本适用于本文件；不注日期的引用文件，其最新版本（包括所有的修改单）适用于本文件。"/>
          <w:listItem w:displayText="本文件没有规范性引用文件。" w:value="本文件没有规范性引用文件。"/>
        </w:dropDownList>
      </w:sdtPr>
      <w:sdtEndPr>
        <w:rPr>
          <w:rFonts w:hint="eastAsia"/>
        </w:rPr>
      </w:sdtEndPr>
      <w:sdtContent>
        <w:p w14:paraId="3CD98F01">
          <w:pPr>
            <w:pStyle w:val="35"/>
            <w:ind w:firstLine="420"/>
            <w:rPr>
              <w:rFonts w:hint="eastAsia" w:ascii="宋体" w:hAnsi="宋体" w:cs="宋体"/>
              <w:color w:val="EE0000"/>
            </w:rPr>
          </w:pPr>
          <w:r>
            <w:rPr>
              <w:rFonts w:hint="eastAsia"/>
            </w:rPr>
            <w:t>下列文件中的内容通过文中的规范性引用而构成本文件必不可少的条款。其中，注日期的引用文件，仅该日期对应的版本适用于本文件；不注日期的引用文件，其最新版本（包括所有的修改单）适用于本文件。</w:t>
          </w:r>
          <w:bookmarkStart w:id="56" w:name="OLE_LINK1"/>
        </w:p>
      </w:sdtContent>
    </w:sdt>
    <w:bookmarkEnd w:id="56"/>
    <w:p w14:paraId="736CA8D0">
      <w:pPr>
        <w:pStyle w:val="35"/>
        <w:ind w:firstLine="420"/>
        <w:rPr>
          <w:rFonts w:hint="eastAsia" w:ascii="宋体" w:hAnsi="宋体" w:cs="宋体"/>
        </w:rPr>
      </w:pPr>
      <w:r>
        <w:rPr>
          <w:rFonts w:hint="eastAsia" w:ascii="宋体" w:hAnsi="宋体" w:cs="宋体"/>
        </w:rPr>
        <w:t>GB/T 22116</w:t>
      </w:r>
      <w:r>
        <w:rPr>
          <w:rFonts w:hint="eastAsia" w:ascii="宋体" w:hAnsi="宋体" w:cs="宋体"/>
          <w:lang w:val="en-US" w:eastAsia="zh-CN"/>
        </w:rPr>
        <w:t>-2008</w:t>
      </w:r>
      <w:r>
        <w:rPr>
          <w:rFonts w:hint="eastAsia" w:ascii="宋体" w:hAnsi="宋体" w:cs="宋体"/>
        </w:rPr>
        <w:t xml:space="preserve"> 企业信用等级表示方法</w:t>
      </w:r>
    </w:p>
    <w:p w14:paraId="31F9F5C4">
      <w:pPr>
        <w:pStyle w:val="35"/>
        <w:ind w:firstLine="420"/>
        <w:rPr>
          <w:rFonts w:hint="eastAsia" w:ascii="宋体" w:hAnsi="宋体" w:cs="宋体"/>
        </w:rPr>
      </w:pPr>
      <w:r>
        <w:rPr>
          <w:rFonts w:hint="eastAsia" w:ascii="宋体" w:hAnsi="宋体" w:cs="宋体"/>
        </w:rPr>
        <w:t>GB/T 22117 信用 基本术语</w:t>
      </w:r>
    </w:p>
    <w:p w14:paraId="2ADF41E5">
      <w:pPr>
        <w:pStyle w:val="35"/>
        <w:ind w:firstLine="420"/>
        <w:rPr>
          <w:rFonts w:hint="eastAsia" w:ascii="宋体" w:hAnsi="宋体" w:cs="宋体"/>
        </w:rPr>
      </w:pPr>
      <w:r>
        <w:rPr>
          <w:rFonts w:hint="eastAsia" w:ascii="宋体" w:hAnsi="宋体" w:cs="宋体"/>
        </w:rPr>
        <w:t>GB/T 22118 企业信用信息采集、处理和提供规范</w:t>
      </w:r>
    </w:p>
    <w:p w14:paraId="0909D736">
      <w:pPr>
        <w:pStyle w:val="35"/>
        <w:ind w:firstLine="420"/>
        <w:rPr>
          <w:rFonts w:hint="eastAsia" w:ascii="宋体" w:hAnsi="宋体" w:cs="宋体"/>
        </w:rPr>
      </w:pPr>
      <w:r>
        <w:rPr>
          <w:rFonts w:hint="eastAsia" w:ascii="宋体" w:hAnsi="宋体" w:cs="宋体"/>
        </w:rPr>
        <w:t>GB/T 23794</w:t>
      </w:r>
      <w:r>
        <w:rPr>
          <w:rFonts w:hint="eastAsia" w:ascii="宋体" w:hAnsi="宋体" w:cs="宋体"/>
          <w:lang w:val="en-US" w:eastAsia="zh-CN"/>
        </w:rPr>
        <w:t>-2023</w:t>
      </w:r>
      <w:r>
        <w:rPr>
          <w:rFonts w:hint="eastAsia" w:ascii="宋体" w:hAnsi="宋体" w:cs="宋体"/>
        </w:rPr>
        <w:t xml:space="preserve"> 企业信用评价指标</w:t>
      </w:r>
    </w:p>
    <w:p w14:paraId="27B31925">
      <w:pPr>
        <w:pStyle w:val="42"/>
        <w:spacing w:before="240" w:after="240"/>
      </w:pPr>
      <w:bookmarkStart w:id="57" w:name="_Toc20496"/>
      <w:bookmarkStart w:id="58" w:name="_Toc97192966"/>
      <w:bookmarkStart w:id="59" w:name="_Toc6356"/>
      <w:bookmarkStart w:id="60" w:name="_Toc1953"/>
      <w:r>
        <w:rPr>
          <w:rFonts w:hint="eastAsia"/>
          <w:szCs w:val="21"/>
        </w:rPr>
        <w:t>术语和定义</w:t>
      </w:r>
      <w:bookmarkEnd w:id="57"/>
      <w:bookmarkEnd w:id="58"/>
      <w:bookmarkEnd w:id="59"/>
      <w:bookmarkEnd w:id="60"/>
    </w:p>
    <w:sdt>
      <w:sdtPr>
        <w:id w:val="-1909835108"/>
        <w:placeholder>
          <w:docPart w:val="DD487E154D8B46B1811108614A11313A"/>
        </w:placeholder>
        <w:comboBox>
          <w:listItem w:displayText="点击并选择适当的引导语" w:value="点击并选择适当的引导语"/>
          <w:listItem w:displayText="下列术语和定义适用于本文件。" w:value="下列术语和定义适用于本文件。"/>
          <w:listItem w:displayText="……界定的术语和定义适用于本文件。" w:value="……界定的术语和定义适用于本文件。"/>
          <w:listItem w:displayText="……界定的以及下列术语和定义适用于本文件。" w:value="……界定的以及下列术语和定义适用于本文件。"/>
          <w:listItem w:displayText="本文件没有需要界定的术语和定义。" w:value="本文件没有需要界定的术语和定义。"/>
        </w:comboBox>
      </w:sdtPr>
      <w:sdtContent>
        <w:p w14:paraId="1CD85D5D">
          <w:pPr>
            <w:pStyle w:val="35"/>
            <w:ind w:firstLine="420"/>
          </w:pPr>
          <w:bookmarkStart w:id="61" w:name="_Toc26986532"/>
          <w:bookmarkEnd w:id="61"/>
          <w:r>
            <w:rPr>
              <w:rFonts w:ascii="Times New Roman" w:hAnsi="Times New Roman" w:eastAsia="宋体" w:cs="Times New Roman"/>
              <w:sz w:val="21"/>
              <w:lang w:val="en-US" w:eastAsia="zh-CN" w:bidi="ar-SA"/>
            </w:rPr>
            <w:t>下列术语和定义适用于本文件。</w:t>
          </w:r>
        </w:p>
      </w:sdtContent>
    </w:sdt>
    <w:p w14:paraId="33826B40">
      <w:pPr>
        <w:pStyle w:val="41"/>
        <w:spacing w:before="120" w:after="120"/>
      </w:pPr>
    </w:p>
    <w:p w14:paraId="2D5949C2">
      <w:pPr>
        <w:pStyle w:val="41"/>
        <w:numPr>
          <w:ilvl w:val="2"/>
          <w:numId w:val="0"/>
        </w:numPr>
        <w:spacing w:before="120" w:after="120"/>
        <w:ind w:firstLine="420" w:firstLineChars="200"/>
      </w:pPr>
      <w:r>
        <w:rPr>
          <w:rFonts w:hint="eastAsia"/>
          <w:lang w:eastAsia="zh-CN"/>
        </w:rPr>
        <w:t>拍卖</w:t>
      </w:r>
      <w:r>
        <w:rPr>
          <w:rFonts w:hint="eastAsia"/>
        </w:rPr>
        <w:t xml:space="preserve">企业 </w:t>
      </w:r>
      <w:r>
        <w:rPr>
          <w:rFonts w:hint="eastAsia"/>
          <w:lang w:val="en-US" w:eastAsia="zh-CN"/>
        </w:rPr>
        <w:t xml:space="preserve"> </w:t>
      </w:r>
      <w:r>
        <w:rPr>
          <w:rFonts w:hint="eastAsia"/>
        </w:rPr>
        <w:t xml:space="preserve"> auction enterprise</w:t>
      </w:r>
    </w:p>
    <w:p w14:paraId="05B9AED4">
      <w:pPr>
        <w:pStyle w:val="35"/>
        <w:ind w:firstLine="420"/>
        <w:rPr>
          <w:rFonts w:hint="eastAsia" w:ascii="宋体" w:hAnsi="宋体"/>
        </w:rPr>
      </w:pPr>
      <w:r>
        <w:rPr>
          <w:rFonts w:hint="eastAsia" w:ascii="宋体" w:hAnsi="宋体"/>
        </w:rPr>
        <w:t>依法注册登记，取得拍卖经营批准证书，从事拍卖经营活动，以公开竞价形式将特定物品或财产权利转让给最高应价者的企业法人。</w:t>
      </w:r>
    </w:p>
    <w:p w14:paraId="2F00762C">
      <w:pPr>
        <w:pStyle w:val="41"/>
        <w:spacing w:before="120" w:after="120"/>
      </w:pPr>
    </w:p>
    <w:p w14:paraId="3FC24AF4">
      <w:pPr>
        <w:pStyle w:val="41"/>
        <w:numPr>
          <w:ilvl w:val="2"/>
          <w:numId w:val="0"/>
        </w:numPr>
        <w:spacing w:before="120" w:after="120"/>
        <w:ind w:firstLine="420" w:firstLineChars="200"/>
      </w:pPr>
      <w:r>
        <w:rPr>
          <w:rFonts w:hint="eastAsia"/>
          <w:lang w:eastAsia="zh-CN"/>
        </w:rPr>
        <w:t>拍卖</w:t>
      </w:r>
      <w:r>
        <w:rPr>
          <w:rFonts w:hint="eastAsia"/>
        </w:rPr>
        <w:t xml:space="preserve">企业信用 </w:t>
      </w:r>
      <w:r>
        <w:rPr>
          <w:rFonts w:hint="eastAsia"/>
          <w:lang w:val="en-US" w:eastAsia="zh-CN"/>
        </w:rPr>
        <w:t xml:space="preserve"> </w:t>
      </w:r>
      <w:r>
        <w:rPr>
          <w:rFonts w:hint="eastAsia"/>
        </w:rPr>
        <w:t>credit of auction enterprise</w:t>
      </w:r>
    </w:p>
    <w:p w14:paraId="1BC24BBC">
      <w:pPr>
        <w:pStyle w:val="35"/>
        <w:ind w:firstLine="420"/>
        <w:rPr>
          <w:rFonts w:hint="eastAsia" w:ascii="宋体" w:hAnsi="宋体"/>
        </w:rPr>
      </w:pPr>
      <w:r>
        <w:rPr>
          <w:rFonts w:hint="eastAsia"/>
        </w:rPr>
        <w:t>拍卖企业在经营和管理过程中遵守法律法规、执行行业标准与自律公约、履行合同约定、保障拍卖当事人合法权益、履行社会责任以及经济偿还履约的综合信用表现。</w:t>
      </w:r>
    </w:p>
    <w:p w14:paraId="07E01DA7">
      <w:pPr>
        <w:pStyle w:val="41"/>
        <w:spacing w:before="120" w:after="120"/>
      </w:pPr>
    </w:p>
    <w:p w14:paraId="3BDE458B">
      <w:pPr>
        <w:pStyle w:val="41"/>
        <w:numPr>
          <w:ilvl w:val="2"/>
          <w:numId w:val="0"/>
        </w:numPr>
        <w:spacing w:before="120" w:after="120"/>
        <w:ind w:firstLine="420" w:firstLineChars="200"/>
        <w:rPr>
          <w:rFonts w:hint="eastAsia"/>
          <w:lang w:val="en-US" w:eastAsia="zh-CN"/>
        </w:rPr>
      </w:pPr>
      <w:r>
        <w:rPr>
          <w:rFonts w:hint="eastAsia"/>
          <w:lang w:eastAsia="zh-CN"/>
        </w:rPr>
        <w:t>拍卖</w:t>
      </w:r>
      <w:r>
        <w:rPr>
          <w:rFonts w:hint="eastAsia"/>
        </w:rPr>
        <w:t>企业信用评价</w:t>
      </w:r>
      <w:r>
        <w:rPr>
          <w:rFonts w:hint="eastAsia"/>
          <w:lang w:val="en-US" w:eastAsia="zh-CN"/>
        </w:rPr>
        <w:t xml:space="preserve"> credit evaluation of auction enterprise</w:t>
      </w:r>
    </w:p>
    <w:p w14:paraId="2257B7E3">
      <w:pPr>
        <w:pStyle w:val="35"/>
        <w:ind w:firstLine="420"/>
        <w:rPr>
          <w:rFonts w:hint="eastAsia"/>
        </w:rPr>
      </w:pPr>
      <w:r>
        <w:rPr>
          <w:rFonts w:hint="eastAsia"/>
        </w:rPr>
        <w:t>评价机构按照规定指标与程序，对拍卖企业信用状况进行综合分析、等级评定并以符号标识其信用状况的活动。</w:t>
      </w:r>
    </w:p>
    <w:p w14:paraId="013E8FAE">
      <w:pPr>
        <w:pStyle w:val="41"/>
        <w:spacing w:before="120" w:after="120"/>
        <w:rPr>
          <w:rFonts w:hint="eastAsia"/>
        </w:rPr>
      </w:pPr>
    </w:p>
    <w:p w14:paraId="4F01E094">
      <w:pPr>
        <w:pStyle w:val="41"/>
        <w:numPr>
          <w:ilvl w:val="2"/>
          <w:numId w:val="0"/>
        </w:numPr>
        <w:spacing w:before="120" w:after="120"/>
        <w:ind w:leftChars="0" w:firstLine="420" w:firstLineChars="200"/>
        <w:rPr>
          <w:rFonts w:hint="eastAsia"/>
          <w:lang w:val="en-US" w:eastAsia="zh-CN"/>
        </w:rPr>
      </w:pPr>
      <w:r>
        <w:rPr>
          <w:rFonts w:hint="eastAsia"/>
        </w:rPr>
        <w:t>拍卖</w:t>
      </w:r>
      <w:r>
        <w:rPr>
          <w:rFonts w:hint="eastAsia"/>
          <w:lang w:val="en-US" w:eastAsia="zh-CN"/>
        </w:rPr>
        <w:t>师 auctioneer</w:t>
      </w:r>
    </w:p>
    <w:p w14:paraId="4F0946C5">
      <w:pPr>
        <w:pStyle w:val="35"/>
        <w:rPr>
          <w:rFonts w:hint="eastAsia"/>
          <w:lang w:val="en-US" w:eastAsia="zh-CN"/>
        </w:rPr>
      </w:pPr>
      <w:r>
        <w:rPr>
          <w:rFonts w:hint="eastAsia"/>
          <w:lang w:val="en-US" w:eastAsia="zh-CN"/>
        </w:rPr>
        <w:t>经全国统一考试合格，取得《中华人民共和国拍卖师执业资格证书》，并经注册，主持拍卖活动的执业人员。</w:t>
      </w:r>
    </w:p>
    <w:p w14:paraId="4F8C6543">
      <w:pPr>
        <w:pStyle w:val="41"/>
        <w:numPr>
          <w:ilvl w:val="2"/>
          <w:numId w:val="0"/>
        </w:numPr>
        <w:spacing w:before="120" w:after="120"/>
        <w:ind w:leftChars="0"/>
        <w:rPr>
          <w:rFonts w:hint="eastAsia"/>
          <w:lang w:val="en-US" w:eastAsia="zh-CN"/>
        </w:rPr>
      </w:pPr>
      <w:r>
        <w:rPr>
          <w:rFonts w:hint="eastAsia"/>
          <w:lang w:val="en-US" w:eastAsia="zh-CN"/>
        </w:rPr>
        <w:t>3.5</w:t>
      </w:r>
    </w:p>
    <w:p w14:paraId="7115818F">
      <w:pPr>
        <w:pStyle w:val="41"/>
        <w:numPr>
          <w:ilvl w:val="2"/>
          <w:numId w:val="0"/>
        </w:numPr>
        <w:spacing w:before="120" w:after="120"/>
        <w:ind w:leftChars="0" w:firstLine="420" w:firstLineChars="200"/>
        <w:rPr>
          <w:rFonts w:hint="eastAsia"/>
          <w:lang w:val="en-US" w:eastAsia="zh-CN"/>
        </w:rPr>
      </w:pPr>
      <w:r>
        <w:rPr>
          <w:rFonts w:hint="eastAsia"/>
          <w:lang w:val="en-US" w:eastAsia="zh-CN"/>
        </w:rPr>
        <w:t>网络拍卖  online auction</w:t>
      </w:r>
    </w:p>
    <w:p w14:paraId="18024029">
      <w:pPr>
        <w:ind w:firstLine="420" w:firstLineChars="200"/>
        <w:rPr>
          <w:rFonts w:hint="eastAsia"/>
        </w:rPr>
      </w:pPr>
      <w:r>
        <w:rPr>
          <w:rFonts w:hint="eastAsia"/>
        </w:rPr>
        <w:t>通过互联网等信息网络，以公开竞价的形式，将特定物品或者财产权利转让给最高应价者的拍卖经营活动。</w:t>
      </w:r>
    </w:p>
    <w:p w14:paraId="0FD49BE7">
      <w:pPr>
        <w:pStyle w:val="41"/>
        <w:numPr>
          <w:ilvl w:val="2"/>
          <w:numId w:val="0"/>
        </w:numPr>
        <w:spacing w:before="120" w:after="120"/>
        <w:rPr>
          <w:rFonts w:hint="default"/>
          <w:lang w:val="en-US" w:eastAsia="zh-CN"/>
        </w:rPr>
      </w:pPr>
      <w:r>
        <w:rPr>
          <w:rFonts w:hint="eastAsia"/>
          <w:lang w:val="en-US" w:eastAsia="zh-CN"/>
        </w:rPr>
        <w:t>3.6</w:t>
      </w:r>
    </w:p>
    <w:p w14:paraId="1E6E730A">
      <w:pPr>
        <w:pStyle w:val="41"/>
        <w:numPr>
          <w:ilvl w:val="2"/>
          <w:numId w:val="0"/>
        </w:numPr>
        <w:spacing w:before="120" w:after="120"/>
        <w:ind w:leftChars="0" w:firstLine="420" w:firstLineChars="200"/>
        <w:rPr>
          <w:rFonts w:hint="default"/>
          <w:lang w:val="en-US" w:eastAsia="zh-CN"/>
        </w:rPr>
      </w:pPr>
      <w:r>
        <w:rPr>
          <w:rFonts w:hint="default"/>
          <w:lang w:val="en-US" w:eastAsia="zh-CN"/>
        </w:rPr>
        <w:t xml:space="preserve">文物拍卖  cultural relics auction </w:t>
      </w:r>
    </w:p>
    <w:p w14:paraId="331847FC">
      <w:pPr>
        <w:pStyle w:val="35"/>
        <w:rPr>
          <w:rFonts w:hint="default"/>
          <w:lang w:val="en-US" w:eastAsia="zh-CN"/>
        </w:rPr>
      </w:pPr>
      <w:r>
        <w:rPr>
          <w:rFonts w:hint="default"/>
          <w:lang w:val="en-US" w:eastAsia="zh-CN"/>
        </w:rPr>
        <w:t>依据《中华人民共和国文物保护法》及其实施条例，取得文物拍卖许可证的拍卖企业从事的文物拍卖经营活动。</w:t>
      </w:r>
    </w:p>
    <w:p w14:paraId="1940FFBB">
      <w:pPr>
        <w:pStyle w:val="41"/>
        <w:numPr>
          <w:ilvl w:val="2"/>
          <w:numId w:val="0"/>
        </w:numPr>
        <w:spacing w:before="120" w:after="120"/>
        <w:rPr>
          <w:rFonts w:hint="default"/>
          <w:lang w:val="en-US" w:eastAsia="zh-CN"/>
        </w:rPr>
      </w:pPr>
      <w:r>
        <w:rPr>
          <w:rFonts w:hint="eastAsia"/>
          <w:lang w:val="en-US" w:eastAsia="zh-CN"/>
        </w:rPr>
        <w:t>3.7</w:t>
      </w:r>
    </w:p>
    <w:p w14:paraId="467057B5">
      <w:pPr>
        <w:pStyle w:val="41"/>
        <w:numPr>
          <w:ilvl w:val="2"/>
          <w:numId w:val="0"/>
        </w:numPr>
        <w:spacing w:before="120" w:after="120"/>
        <w:ind w:leftChars="0" w:firstLine="420" w:firstLineChars="200"/>
        <w:rPr>
          <w:rFonts w:hint="default"/>
          <w:lang w:val="en-US" w:eastAsia="zh-CN"/>
        </w:rPr>
      </w:pPr>
      <w:r>
        <w:rPr>
          <w:rFonts w:hint="default"/>
          <w:lang w:val="en-US" w:eastAsia="zh-CN"/>
        </w:rPr>
        <w:t xml:space="preserve">信用修复  credit repair </w:t>
      </w:r>
    </w:p>
    <w:p w14:paraId="3959A4DC">
      <w:pPr>
        <w:pStyle w:val="35"/>
        <w:rPr>
          <w:rFonts w:hint="default"/>
          <w:lang w:val="en-US" w:eastAsia="zh-CN"/>
        </w:rPr>
      </w:pPr>
      <w:r>
        <w:rPr>
          <w:rFonts w:hint="default"/>
          <w:lang w:val="en-US" w:eastAsia="zh-CN"/>
        </w:rPr>
        <w:t>失信主体主动纠正失信行为、消除不良影响，经规定程序获准后，将其信用信息修复至相应状态的过程。</w:t>
      </w:r>
    </w:p>
    <w:p w14:paraId="4C6BEB0C">
      <w:pPr>
        <w:pStyle w:val="41"/>
        <w:numPr>
          <w:ilvl w:val="2"/>
          <w:numId w:val="0"/>
        </w:numPr>
        <w:spacing w:before="120" w:after="120"/>
        <w:rPr>
          <w:rFonts w:hint="default"/>
          <w:lang w:val="en-US" w:eastAsia="zh-CN"/>
        </w:rPr>
      </w:pPr>
      <w:r>
        <w:rPr>
          <w:rFonts w:hint="eastAsia"/>
          <w:lang w:val="en-US" w:eastAsia="zh-CN"/>
        </w:rPr>
        <w:t>3.8</w:t>
      </w:r>
    </w:p>
    <w:p w14:paraId="405EF136">
      <w:pPr>
        <w:pStyle w:val="41"/>
        <w:numPr>
          <w:ilvl w:val="2"/>
          <w:numId w:val="0"/>
        </w:numPr>
        <w:spacing w:before="120" w:after="120"/>
        <w:ind w:leftChars="0" w:firstLine="420" w:firstLineChars="200"/>
        <w:rPr>
          <w:rFonts w:hint="default"/>
          <w:lang w:val="en-US" w:eastAsia="zh-CN"/>
        </w:rPr>
      </w:pPr>
      <w:r>
        <w:rPr>
          <w:rFonts w:hint="default"/>
          <w:lang w:val="en-US" w:eastAsia="zh-CN"/>
        </w:rPr>
        <w:t xml:space="preserve">一票否决指标  veto indicator </w:t>
      </w:r>
    </w:p>
    <w:p w14:paraId="102E551A">
      <w:pPr>
        <w:pStyle w:val="35"/>
        <w:rPr>
          <w:rFonts w:hint="default"/>
          <w:lang w:val="en-US" w:eastAsia="zh-CN"/>
        </w:rPr>
      </w:pPr>
      <w:r>
        <w:rPr>
          <w:rFonts w:hint="default"/>
          <w:lang w:val="en-US" w:eastAsia="zh-CN"/>
        </w:rPr>
        <w:t>在信用评价中，参评企业一旦触及即直接取消评价资格或评为最低信用等级的关键性负面指标。</w:t>
      </w:r>
    </w:p>
    <w:p w14:paraId="7D828880">
      <w:pPr>
        <w:pStyle w:val="41"/>
        <w:numPr>
          <w:ilvl w:val="2"/>
          <w:numId w:val="0"/>
        </w:numPr>
        <w:spacing w:before="120" w:after="120"/>
        <w:rPr>
          <w:rFonts w:hint="default"/>
          <w:lang w:val="en-US" w:eastAsia="zh-CN"/>
        </w:rPr>
      </w:pPr>
      <w:r>
        <w:rPr>
          <w:rFonts w:hint="eastAsia"/>
          <w:lang w:val="en-US" w:eastAsia="zh-CN"/>
        </w:rPr>
        <w:t>3.9</w:t>
      </w:r>
    </w:p>
    <w:p w14:paraId="1CC4EFDD">
      <w:pPr>
        <w:pStyle w:val="41"/>
        <w:numPr>
          <w:ilvl w:val="2"/>
          <w:numId w:val="0"/>
        </w:numPr>
        <w:spacing w:before="120" w:after="120"/>
        <w:ind w:leftChars="0" w:firstLine="420" w:firstLineChars="200"/>
        <w:rPr>
          <w:rFonts w:hint="default"/>
          <w:lang w:val="en-US" w:eastAsia="zh-CN"/>
        </w:rPr>
      </w:pPr>
      <w:r>
        <w:rPr>
          <w:rFonts w:hint="default"/>
          <w:lang w:val="en-US" w:eastAsia="zh-CN"/>
        </w:rPr>
        <w:t xml:space="preserve">ESG责任  ESG responsibility </w:t>
      </w:r>
    </w:p>
    <w:p w14:paraId="78EC1E50">
      <w:pPr>
        <w:pStyle w:val="35"/>
        <w:rPr>
          <w:rFonts w:hint="default"/>
          <w:lang w:val="en-US" w:eastAsia="zh-CN"/>
        </w:rPr>
      </w:pPr>
      <w:r>
        <w:rPr>
          <w:rFonts w:hint="default"/>
          <w:lang w:val="en-US" w:eastAsia="zh-CN"/>
        </w:rPr>
        <w:t>企业在环境（Environmental）、社会（Social）和治理（Governance）三个维度履行责任的情况。</w:t>
      </w:r>
    </w:p>
    <w:p w14:paraId="4234FF5C">
      <w:pPr>
        <w:pStyle w:val="42"/>
        <w:spacing w:before="240" w:after="240"/>
      </w:pPr>
      <w:bookmarkStart w:id="62" w:name="_Toc22373"/>
      <w:bookmarkStart w:id="63" w:name="_Toc9822"/>
      <w:bookmarkStart w:id="64" w:name="_Toc13428"/>
      <w:r>
        <w:rPr>
          <w:rFonts w:hint="eastAsia"/>
        </w:rPr>
        <w:t>评价</w:t>
      </w:r>
      <w:bookmarkEnd w:id="62"/>
      <w:bookmarkEnd w:id="63"/>
      <w:bookmarkEnd w:id="64"/>
      <w:r>
        <w:rPr>
          <w:rFonts w:hint="eastAsia"/>
          <w:lang w:val="en-US" w:eastAsia="zh-CN"/>
        </w:rPr>
        <w:t>原则</w:t>
      </w:r>
    </w:p>
    <w:p w14:paraId="73054232">
      <w:pPr>
        <w:pStyle w:val="41"/>
        <w:numPr>
          <w:ilvl w:val="2"/>
          <w:numId w:val="0"/>
        </w:numPr>
        <w:spacing w:before="120" w:after="120"/>
        <w:rPr>
          <w:rFonts w:hint="eastAsia"/>
          <w:lang w:val="en-US" w:eastAsia="zh-CN"/>
        </w:rPr>
      </w:pPr>
      <w:r>
        <w:rPr>
          <w:rFonts w:hint="eastAsia" w:ascii="黑体" w:hAnsi="Times New Roman" w:eastAsia="黑体" w:cs="Times New Roman"/>
          <w:sz w:val="21"/>
          <w:lang w:val="en-US" w:eastAsia="zh-CN" w:bidi="ar-SA"/>
        </w:rPr>
        <w:t xml:space="preserve">4.1 </w:t>
      </w:r>
      <w:r>
        <w:rPr>
          <w:rFonts w:hint="eastAsia"/>
          <w:lang w:val="en-US" w:eastAsia="zh-CN"/>
        </w:rPr>
        <w:t xml:space="preserve"> 合规性</w:t>
      </w:r>
    </w:p>
    <w:p w14:paraId="0F96F215">
      <w:pPr>
        <w:pStyle w:val="41"/>
        <w:numPr>
          <w:ilvl w:val="2"/>
          <w:numId w:val="0"/>
        </w:numPr>
        <w:spacing w:before="120" w:after="120"/>
        <w:ind w:firstLine="420" w:firstLineChars="200"/>
        <w:rPr>
          <w:rFonts w:hint="eastAsia" w:ascii="Times New Roman" w:hAnsi="Times New Roman" w:eastAsia="宋体" w:cs="Times New Roman"/>
          <w:sz w:val="21"/>
          <w:lang w:val="en-US" w:eastAsia="zh-CN" w:bidi="ar-SA"/>
        </w:rPr>
      </w:pPr>
      <w:r>
        <w:rPr>
          <w:rFonts w:hint="eastAsia" w:ascii="Times New Roman" w:hAnsi="Times New Roman" w:eastAsia="宋体" w:cs="Times New Roman"/>
          <w:sz w:val="21"/>
          <w:lang w:val="en-US" w:eastAsia="zh-CN" w:bidi="ar-SA"/>
        </w:rPr>
        <w:t>按照规定程序开展评价活动，符合相关标准要求。</w:t>
      </w:r>
    </w:p>
    <w:p w14:paraId="62CB7465">
      <w:pPr>
        <w:pStyle w:val="41"/>
        <w:numPr>
          <w:ilvl w:val="2"/>
          <w:numId w:val="0"/>
        </w:numPr>
        <w:spacing w:before="120" w:after="120"/>
        <w:rPr>
          <w:rFonts w:hint="eastAsia" w:ascii="黑体" w:hAnsi="Times New Roman" w:eastAsia="黑体" w:cs="Times New Roman"/>
          <w:sz w:val="21"/>
          <w:lang w:val="en-US" w:eastAsia="zh-CN" w:bidi="ar-SA"/>
        </w:rPr>
      </w:pPr>
      <w:r>
        <w:rPr>
          <w:rFonts w:hint="eastAsia" w:ascii="黑体" w:hAnsi="Times New Roman" w:eastAsia="黑体" w:cs="Times New Roman"/>
          <w:sz w:val="21"/>
          <w:lang w:val="en-US" w:eastAsia="zh-CN" w:bidi="ar-SA"/>
        </w:rPr>
        <w:t>4.2  客观性</w:t>
      </w:r>
    </w:p>
    <w:p w14:paraId="02D1C700">
      <w:pPr>
        <w:pStyle w:val="35"/>
        <w:rPr>
          <w:rFonts w:hint="eastAsia"/>
          <w:lang w:val="en-US" w:eastAsia="zh-CN"/>
        </w:rPr>
      </w:pPr>
      <w:r>
        <w:rPr>
          <w:rFonts w:hint="eastAsia"/>
          <w:lang w:val="en-US" w:eastAsia="zh-CN"/>
        </w:rPr>
        <w:t>秉持独立、客观、公正、公平、公开的原则，不受外来因素影响。</w:t>
      </w:r>
    </w:p>
    <w:p w14:paraId="70C864FC">
      <w:pPr>
        <w:pStyle w:val="41"/>
        <w:numPr>
          <w:ilvl w:val="2"/>
          <w:numId w:val="0"/>
        </w:numPr>
        <w:spacing w:before="120" w:after="120"/>
        <w:rPr>
          <w:rFonts w:hint="eastAsia" w:ascii="黑体" w:hAnsi="Times New Roman" w:eastAsia="黑体" w:cs="Times New Roman"/>
          <w:sz w:val="21"/>
          <w:lang w:val="en-US" w:eastAsia="zh-CN" w:bidi="ar-SA"/>
        </w:rPr>
      </w:pPr>
      <w:r>
        <w:rPr>
          <w:rFonts w:hint="eastAsia" w:cs="Times New Roman"/>
          <w:sz w:val="21"/>
          <w:lang w:val="en-US" w:eastAsia="zh-CN" w:bidi="ar-SA"/>
        </w:rPr>
        <w:t xml:space="preserve">4.3  </w:t>
      </w:r>
      <w:r>
        <w:rPr>
          <w:rFonts w:hint="eastAsia" w:ascii="黑体" w:hAnsi="Times New Roman" w:eastAsia="黑体" w:cs="Times New Roman"/>
          <w:sz w:val="21"/>
          <w:lang w:val="en-US" w:eastAsia="zh-CN" w:bidi="ar-SA"/>
        </w:rPr>
        <w:t>适用性</w:t>
      </w:r>
    </w:p>
    <w:p w14:paraId="6B396EB9">
      <w:pPr>
        <w:pStyle w:val="170"/>
        <w:numPr>
          <w:ilvl w:val="3"/>
          <w:numId w:val="0"/>
        </w:numPr>
        <w:ind w:leftChars="0" w:firstLine="420" w:firstLineChars="200"/>
        <w:rPr>
          <w:rFonts w:hint="eastAsia"/>
        </w:rPr>
      </w:pPr>
      <w:r>
        <w:rPr>
          <w:rFonts w:hint="eastAsia"/>
        </w:rPr>
        <w:t>选择适用于</w:t>
      </w:r>
      <w:r>
        <w:rPr>
          <w:rFonts w:hint="eastAsia"/>
          <w:lang w:eastAsia="zh-CN"/>
        </w:rPr>
        <w:t>拍卖</w:t>
      </w:r>
      <w:r>
        <w:rPr>
          <w:rFonts w:hint="eastAsia"/>
        </w:rPr>
        <w:t>企业信用评价目的和行业特点的评价方法、评价指标。</w:t>
      </w:r>
    </w:p>
    <w:p w14:paraId="6F4CAACD">
      <w:pPr>
        <w:pStyle w:val="41"/>
        <w:numPr>
          <w:ilvl w:val="2"/>
          <w:numId w:val="0"/>
        </w:numPr>
        <w:spacing w:before="120" w:after="120"/>
        <w:rPr>
          <w:rFonts w:hint="eastAsia" w:ascii="黑体" w:hAnsi="Times New Roman" w:eastAsia="黑体" w:cs="Times New Roman"/>
          <w:sz w:val="21"/>
          <w:lang w:val="en-US" w:eastAsia="zh-CN" w:bidi="ar-SA"/>
        </w:rPr>
      </w:pPr>
      <w:r>
        <w:rPr>
          <w:rFonts w:hint="eastAsia" w:cs="Times New Roman"/>
          <w:sz w:val="21"/>
          <w:lang w:val="en-US" w:eastAsia="zh-CN" w:bidi="ar-SA"/>
        </w:rPr>
        <w:t>4.4  安全</w:t>
      </w:r>
      <w:r>
        <w:rPr>
          <w:rFonts w:hint="eastAsia" w:ascii="黑体" w:hAnsi="Times New Roman" w:eastAsia="黑体" w:cs="Times New Roman"/>
          <w:sz w:val="21"/>
          <w:lang w:val="en-US" w:eastAsia="zh-CN" w:bidi="ar-SA"/>
        </w:rPr>
        <w:t>性</w:t>
      </w:r>
    </w:p>
    <w:p w14:paraId="5EBA152A">
      <w:pPr>
        <w:pStyle w:val="170"/>
        <w:numPr>
          <w:ilvl w:val="3"/>
          <w:numId w:val="0"/>
        </w:numPr>
        <w:ind w:leftChars="0" w:firstLine="420" w:firstLineChars="200"/>
        <w:rPr>
          <w:rFonts w:hint="eastAsia"/>
        </w:rPr>
      </w:pPr>
      <w:r>
        <w:rPr>
          <w:rFonts w:hint="eastAsia"/>
        </w:rPr>
        <w:t>采取科学保护措施及方法，确保企业信用信息在采集、使用和发布过程中的安全。</w:t>
      </w:r>
    </w:p>
    <w:p w14:paraId="59951997">
      <w:pPr>
        <w:pStyle w:val="41"/>
        <w:numPr>
          <w:ilvl w:val="2"/>
          <w:numId w:val="0"/>
        </w:numPr>
        <w:spacing w:before="120" w:after="120"/>
        <w:rPr>
          <w:rFonts w:hint="eastAsia" w:ascii="黑体" w:hAnsi="Times New Roman" w:eastAsia="黑体" w:cs="Times New Roman"/>
          <w:sz w:val="21"/>
          <w:lang w:val="en-US" w:eastAsia="zh-CN" w:bidi="ar-SA"/>
        </w:rPr>
      </w:pPr>
      <w:r>
        <w:rPr>
          <w:rFonts w:hint="eastAsia" w:cs="Times New Roman"/>
          <w:sz w:val="21"/>
          <w:lang w:val="en-US" w:eastAsia="zh-CN" w:bidi="ar-SA"/>
        </w:rPr>
        <w:t>4.5  动态性</w:t>
      </w:r>
    </w:p>
    <w:p w14:paraId="0FFD9C3F">
      <w:pPr>
        <w:pStyle w:val="170"/>
        <w:numPr>
          <w:ilvl w:val="3"/>
          <w:numId w:val="0"/>
        </w:numPr>
        <w:ind w:leftChars="0" w:firstLine="420" w:firstLineChars="200"/>
        <w:rPr>
          <w:rFonts w:hint="eastAsia"/>
        </w:rPr>
      </w:pPr>
      <w:r>
        <w:rPr>
          <w:rFonts w:hint="eastAsia"/>
        </w:rPr>
        <w:t>信用评价应实施动态管理，根据企业信用信息的变更及时调整信用等级，反映企业最新的信用状况。</w:t>
      </w:r>
    </w:p>
    <w:p w14:paraId="7323E27A">
      <w:pPr>
        <w:pStyle w:val="41"/>
        <w:numPr>
          <w:ilvl w:val="2"/>
          <w:numId w:val="0"/>
        </w:numPr>
        <w:spacing w:before="120" w:after="120"/>
        <w:rPr>
          <w:rFonts w:hint="eastAsia" w:ascii="黑体" w:hAnsi="Times New Roman" w:eastAsia="黑体" w:cs="Times New Roman"/>
          <w:sz w:val="21"/>
          <w:lang w:val="en-US" w:eastAsia="zh-CN" w:bidi="ar-SA"/>
        </w:rPr>
      </w:pPr>
      <w:r>
        <w:rPr>
          <w:rFonts w:hint="eastAsia" w:cs="Times New Roman"/>
          <w:sz w:val="21"/>
          <w:lang w:val="en-US" w:eastAsia="zh-CN" w:bidi="ar-SA"/>
        </w:rPr>
        <w:t>4.6  保密性</w:t>
      </w:r>
    </w:p>
    <w:p w14:paraId="66AE6ADC">
      <w:pPr>
        <w:pStyle w:val="170"/>
        <w:numPr>
          <w:ilvl w:val="3"/>
          <w:numId w:val="0"/>
        </w:numPr>
        <w:ind w:leftChars="0" w:firstLine="420" w:firstLineChars="200"/>
        <w:rPr>
          <w:rFonts w:hint="eastAsia"/>
        </w:rPr>
      </w:pPr>
      <w:r>
        <w:rPr>
          <w:rFonts w:hint="eastAsia"/>
        </w:rPr>
        <w:t>评价机构及人员应对评价过程中知悉的企业商业秘密、个人隐私等信息严格保密，未经授权不得对外披露。</w:t>
      </w:r>
    </w:p>
    <w:p w14:paraId="690E7637">
      <w:pPr>
        <w:pStyle w:val="42"/>
        <w:spacing w:before="240" w:after="240"/>
      </w:pPr>
      <w:r>
        <w:rPr>
          <w:rFonts w:hint="eastAsia"/>
          <w:lang w:val="en-US" w:eastAsia="zh-CN"/>
        </w:rPr>
        <w:t>评价对象与条件</w:t>
      </w:r>
    </w:p>
    <w:p w14:paraId="503A8051">
      <w:pPr>
        <w:pStyle w:val="41"/>
        <w:numPr>
          <w:ilvl w:val="2"/>
          <w:numId w:val="0"/>
        </w:numPr>
        <w:spacing w:before="120" w:after="120"/>
        <w:rPr>
          <w:rFonts w:hint="default" w:ascii="黑体" w:hAnsi="Times New Roman" w:eastAsia="黑体" w:cs="Times New Roman"/>
          <w:sz w:val="21"/>
          <w:lang w:val="en-US" w:eastAsia="zh-CN" w:bidi="ar-SA"/>
        </w:rPr>
      </w:pPr>
      <w:r>
        <w:rPr>
          <w:rFonts w:hint="eastAsia" w:cs="Times New Roman"/>
          <w:sz w:val="21"/>
          <w:lang w:val="en-US" w:eastAsia="zh-CN" w:bidi="ar-SA"/>
        </w:rPr>
        <w:t>5.1  评价对象</w:t>
      </w:r>
    </w:p>
    <w:p w14:paraId="67A22A4D">
      <w:pPr>
        <w:pStyle w:val="170"/>
        <w:numPr>
          <w:ilvl w:val="3"/>
          <w:numId w:val="0"/>
        </w:numPr>
        <w:ind w:leftChars="0" w:firstLine="420" w:firstLineChars="200"/>
        <w:rPr>
          <w:rFonts w:hint="eastAsia"/>
        </w:rPr>
      </w:pPr>
      <w:r>
        <w:rPr>
          <w:rFonts w:hint="eastAsia"/>
        </w:rPr>
        <w:t>具有独立法人资格，取得拍卖经营批准证书，且在湖南省行政区域内从事拍卖经营活动的企业。</w:t>
      </w:r>
    </w:p>
    <w:p w14:paraId="0C96FA71">
      <w:pPr>
        <w:pStyle w:val="41"/>
        <w:numPr>
          <w:ilvl w:val="2"/>
          <w:numId w:val="0"/>
        </w:numPr>
        <w:spacing w:before="120" w:after="120"/>
        <w:rPr>
          <w:rFonts w:hint="default" w:ascii="黑体" w:hAnsi="Times New Roman" w:eastAsia="黑体" w:cs="Times New Roman"/>
          <w:sz w:val="21"/>
          <w:lang w:val="en-US" w:eastAsia="zh-CN" w:bidi="ar-SA"/>
        </w:rPr>
      </w:pPr>
      <w:r>
        <w:rPr>
          <w:rFonts w:hint="eastAsia" w:cs="Times New Roman"/>
          <w:sz w:val="21"/>
          <w:lang w:val="en-US" w:eastAsia="zh-CN" w:bidi="ar-SA"/>
        </w:rPr>
        <w:t>5.2  参评条件</w:t>
      </w:r>
    </w:p>
    <w:p w14:paraId="1FD66A75">
      <w:pPr>
        <w:pStyle w:val="170"/>
        <w:numPr>
          <w:ilvl w:val="3"/>
          <w:numId w:val="0"/>
        </w:numPr>
        <w:ind w:leftChars="0" w:firstLine="420" w:firstLineChars="200"/>
        <w:rPr>
          <w:rFonts w:hint="eastAsia"/>
        </w:rPr>
      </w:pPr>
      <w:r>
        <w:rPr>
          <w:rFonts w:hint="eastAsia"/>
        </w:rPr>
        <w:t>参评企业应满足以下条件：</w:t>
      </w:r>
    </w:p>
    <w:p w14:paraId="797E6DCF">
      <w:pPr>
        <w:pStyle w:val="170"/>
        <w:numPr>
          <w:ilvl w:val="3"/>
          <w:numId w:val="0"/>
        </w:numPr>
        <w:ind w:leftChars="0" w:firstLine="420" w:firstLineChars="200"/>
        <w:rPr>
          <w:rFonts w:hint="eastAsia"/>
        </w:rPr>
      </w:pPr>
      <w:r>
        <w:rPr>
          <w:rFonts w:hint="eastAsia"/>
        </w:rPr>
        <w:t>a）依法登记注册，取得拍卖经营批准证书，存续期达到三年以上，经营状况稳定；</w:t>
      </w:r>
    </w:p>
    <w:p w14:paraId="0137B166">
      <w:pPr>
        <w:pStyle w:val="170"/>
        <w:numPr>
          <w:ilvl w:val="3"/>
          <w:numId w:val="0"/>
        </w:numPr>
        <w:ind w:leftChars="0" w:firstLine="420" w:firstLineChars="200"/>
        <w:rPr>
          <w:rFonts w:hint="eastAsia"/>
        </w:rPr>
      </w:pPr>
      <w:r>
        <w:rPr>
          <w:rFonts w:hint="eastAsia"/>
        </w:rPr>
        <w:t>b）近三年内未发生较大及以上安全生产责任事故；</w:t>
      </w:r>
    </w:p>
    <w:p w14:paraId="0F37F017">
      <w:pPr>
        <w:pStyle w:val="170"/>
        <w:numPr>
          <w:ilvl w:val="3"/>
          <w:numId w:val="0"/>
        </w:numPr>
        <w:ind w:leftChars="0" w:firstLine="420" w:firstLineChars="200"/>
        <w:rPr>
          <w:rFonts w:hint="eastAsia"/>
        </w:rPr>
      </w:pPr>
      <w:r>
        <w:rPr>
          <w:rFonts w:hint="eastAsia"/>
        </w:rPr>
        <w:t xml:space="preserve">c）近三年内未发生恶意拖欠员工工资、佣金或委托人拍卖款等引发的群体性事件或重大投诉；  </w:t>
      </w:r>
    </w:p>
    <w:p w14:paraId="41EB2F28">
      <w:pPr>
        <w:pStyle w:val="170"/>
        <w:numPr>
          <w:ilvl w:val="3"/>
          <w:numId w:val="0"/>
        </w:numPr>
        <w:ind w:leftChars="0" w:firstLine="420" w:firstLineChars="200"/>
        <w:rPr>
          <w:rFonts w:hint="eastAsia"/>
        </w:rPr>
      </w:pPr>
      <w:r>
        <w:rPr>
          <w:rFonts w:hint="eastAsia"/>
        </w:rPr>
        <w:t>d）近三年内未发生相互串通投标、恶意压价竞争或与竞买人串通损害委托人利益的行为；</w:t>
      </w:r>
    </w:p>
    <w:p w14:paraId="492AF4B1">
      <w:pPr>
        <w:pStyle w:val="170"/>
        <w:numPr>
          <w:ilvl w:val="3"/>
          <w:numId w:val="0"/>
        </w:numPr>
        <w:ind w:leftChars="0" w:firstLine="420" w:firstLineChars="200"/>
        <w:rPr>
          <w:rFonts w:hint="eastAsia"/>
          <w:lang w:eastAsia="zh-CN"/>
        </w:rPr>
      </w:pPr>
      <w:r>
        <w:rPr>
          <w:rFonts w:hint="eastAsia"/>
        </w:rPr>
        <w:t xml:space="preserve">e）近三年内未发生伪造拍卖笔录、虚假成交等严重违规拍卖行为；  </w:t>
      </w:r>
    </w:p>
    <w:p w14:paraId="50D39D84">
      <w:pPr>
        <w:pStyle w:val="170"/>
        <w:numPr>
          <w:ilvl w:val="3"/>
          <w:numId w:val="0"/>
        </w:numPr>
        <w:ind w:leftChars="0" w:firstLine="420" w:firstLineChars="200"/>
        <w:rPr>
          <w:rFonts w:hint="eastAsia"/>
          <w:lang w:eastAsia="zh-CN"/>
        </w:rPr>
      </w:pPr>
      <w:r>
        <w:rPr>
          <w:rFonts w:hint="eastAsia"/>
          <w:lang w:val="en-US" w:eastAsia="zh-CN"/>
        </w:rPr>
        <w:t>f</w:t>
      </w:r>
      <w:r>
        <w:rPr>
          <w:rFonts w:hint="eastAsia"/>
          <w:lang w:eastAsia="zh-CN"/>
        </w:rPr>
        <w:t xml:space="preserve">）未被纳入严重失信主体名单记录，企业及其法定代表人、主要负责人、实际控制人无重大失信记录；  </w:t>
      </w:r>
    </w:p>
    <w:p w14:paraId="33AB655C">
      <w:pPr>
        <w:pStyle w:val="170"/>
        <w:numPr>
          <w:ilvl w:val="3"/>
          <w:numId w:val="0"/>
        </w:numPr>
        <w:ind w:leftChars="0" w:firstLine="420" w:firstLineChars="200"/>
        <w:rPr>
          <w:rFonts w:hint="default"/>
          <w:lang w:val="en-US" w:eastAsia="zh-CN"/>
        </w:rPr>
      </w:pPr>
      <w:r>
        <w:rPr>
          <w:rFonts w:hint="eastAsia"/>
          <w:lang w:val="en-US" w:eastAsia="zh-CN"/>
        </w:rPr>
        <w:t>g</w:t>
      </w:r>
      <w:r>
        <w:rPr>
          <w:rFonts w:hint="default"/>
          <w:lang w:val="en-US" w:eastAsia="zh-CN"/>
        </w:rPr>
        <w:t>）拥有至少一名注册拍卖师，且拍卖师执业资格有效</w:t>
      </w:r>
      <w:r>
        <w:rPr>
          <w:rFonts w:hint="eastAsia"/>
          <w:lang w:val="en-US" w:eastAsia="zh-CN"/>
        </w:rPr>
        <w:t>，</w:t>
      </w:r>
      <w:r>
        <w:rPr>
          <w:rFonts w:hint="default"/>
          <w:lang w:val="en-US" w:eastAsia="zh-CN"/>
        </w:rPr>
        <w:t>注册关系在本企业。</w:t>
      </w:r>
    </w:p>
    <w:p w14:paraId="0F3064E7">
      <w:pPr>
        <w:pStyle w:val="170"/>
        <w:numPr>
          <w:ilvl w:val="3"/>
          <w:numId w:val="0"/>
        </w:numPr>
        <w:ind w:leftChars="0" w:firstLine="420" w:firstLineChars="200"/>
        <w:rPr>
          <w:rFonts w:hint="default"/>
          <w:lang w:val="en-US" w:eastAsia="zh-CN"/>
        </w:rPr>
      </w:pPr>
      <w:r>
        <w:rPr>
          <w:rFonts w:hint="default"/>
          <w:lang w:val="en-US" w:eastAsia="zh-CN"/>
        </w:rPr>
        <w:t xml:space="preserve">h）具有固定的经营场所和必要的拍卖设施设备，具备开展拍卖活动的基本条件；  </w:t>
      </w:r>
    </w:p>
    <w:p w14:paraId="36A28943">
      <w:pPr>
        <w:pStyle w:val="170"/>
        <w:numPr>
          <w:ilvl w:val="3"/>
          <w:numId w:val="0"/>
        </w:numPr>
        <w:ind w:leftChars="0" w:firstLine="420" w:firstLineChars="200"/>
        <w:rPr>
          <w:rFonts w:hint="default"/>
          <w:lang w:val="en-US" w:eastAsia="zh-CN"/>
        </w:rPr>
      </w:pPr>
      <w:r>
        <w:rPr>
          <w:rFonts w:hint="default"/>
          <w:lang w:val="en-US" w:eastAsia="zh-CN"/>
        </w:rPr>
        <w:t xml:space="preserve">i）建立了完善的内部管理制度，包括拍卖业务规则、财务管理制度、档案管理制度、安全生产管理制度、信息披露制度、风险防控制度、数据安全管理制度等；  </w:t>
      </w:r>
    </w:p>
    <w:p w14:paraId="52CD7905">
      <w:pPr>
        <w:pStyle w:val="170"/>
        <w:numPr>
          <w:ilvl w:val="3"/>
          <w:numId w:val="0"/>
        </w:numPr>
        <w:ind w:leftChars="0" w:firstLine="420" w:firstLineChars="200"/>
        <w:rPr>
          <w:rFonts w:hint="default"/>
          <w:lang w:val="en-US" w:eastAsia="zh-CN"/>
        </w:rPr>
      </w:pPr>
      <w:r>
        <w:rPr>
          <w:rFonts w:hint="default"/>
          <w:lang w:val="en-US" w:eastAsia="zh-CN"/>
        </w:rPr>
        <w:t xml:space="preserve">j）按规定向行业主管部门和行业协会报送经营统计信息；  </w:t>
      </w:r>
    </w:p>
    <w:p w14:paraId="4C16D682">
      <w:pPr>
        <w:pStyle w:val="170"/>
        <w:numPr>
          <w:ilvl w:val="3"/>
          <w:numId w:val="0"/>
        </w:numPr>
        <w:ind w:leftChars="0" w:firstLine="420" w:firstLineChars="200"/>
        <w:rPr>
          <w:rFonts w:hint="default"/>
          <w:lang w:val="en-US" w:eastAsia="zh-CN"/>
        </w:rPr>
      </w:pPr>
      <w:r>
        <w:rPr>
          <w:rFonts w:hint="default"/>
          <w:lang w:val="en-US" w:eastAsia="zh-CN"/>
        </w:rPr>
        <w:t>k）建立了客户投诉处理机制，近三年内无重大客户投诉未处理记录</w:t>
      </w:r>
      <w:r>
        <w:rPr>
          <w:rFonts w:hint="eastAsia"/>
          <w:lang w:val="en-US" w:eastAsia="zh-CN"/>
        </w:rPr>
        <w:t>。</w:t>
      </w:r>
      <w:r>
        <w:rPr>
          <w:rFonts w:hint="default"/>
          <w:lang w:val="en-US" w:eastAsia="zh-CN"/>
        </w:rPr>
        <w:t xml:space="preserve"> </w:t>
      </w:r>
    </w:p>
    <w:p w14:paraId="0FFA1347">
      <w:pPr>
        <w:pStyle w:val="42"/>
        <w:spacing w:before="240" w:after="240"/>
      </w:pPr>
      <w:bookmarkStart w:id="65" w:name="_Toc22117"/>
      <w:bookmarkStart w:id="66" w:name="_Toc17320"/>
      <w:bookmarkStart w:id="67" w:name="_Toc8656"/>
      <w:r>
        <w:rPr>
          <w:rFonts w:hint="eastAsia"/>
        </w:rPr>
        <w:t>评价</w:t>
      </w:r>
      <w:bookmarkEnd w:id="65"/>
      <w:bookmarkEnd w:id="66"/>
      <w:bookmarkEnd w:id="67"/>
      <w:r>
        <w:rPr>
          <w:rFonts w:hint="eastAsia"/>
          <w:lang w:val="en-US" w:eastAsia="zh-CN"/>
        </w:rPr>
        <w:t>指标体系</w:t>
      </w:r>
    </w:p>
    <w:p w14:paraId="2928E011">
      <w:pPr>
        <w:pStyle w:val="41"/>
        <w:numPr>
          <w:ilvl w:val="2"/>
          <w:numId w:val="0"/>
        </w:numPr>
        <w:spacing w:before="120" w:after="120"/>
        <w:rPr>
          <w:rFonts w:hint="eastAsia" w:cs="Times New Roman"/>
          <w:sz w:val="21"/>
          <w:lang w:val="en-US" w:eastAsia="zh-CN" w:bidi="ar-SA"/>
        </w:rPr>
      </w:pPr>
      <w:r>
        <w:rPr>
          <w:rFonts w:hint="eastAsia" w:cs="Times New Roman"/>
          <w:sz w:val="21"/>
          <w:lang w:val="en-US" w:eastAsia="zh-CN" w:bidi="ar-SA"/>
        </w:rPr>
        <w:t>6.1  指标体系框架</w:t>
      </w:r>
    </w:p>
    <w:p w14:paraId="36BD8FF1">
      <w:pPr>
        <w:pStyle w:val="170"/>
        <w:numPr>
          <w:ilvl w:val="3"/>
          <w:numId w:val="0"/>
        </w:numPr>
        <w:ind w:leftChars="0" w:firstLine="420" w:firstLineChars="200"/>
        <w:rPr>
          <w:rFonts w:hint="default"/>
          <w:lang w:val="en-US" w:eastAsia="zh-CN"/>
        </w:rPr>
      </w:pPr>
      <w:r>
        <w:rPr>
          <w:rFonts w:hint="eastAsia"/>
          <w:lang w:val="en-US" w:eastAsia="zh-CN"/>
        </w:rPr>
        <w:t>拍卖企业信用评价指标体系采用四级架构，由一级指标、二级指标、三级指标、四级指标构成，包括基础信用、经营能力、履约行为、公共信用、ESG责任、创新发展六大维度。</w:t>
      </w:r>
    </w:p>
    <w:p w14:paraId="3609301E">
      <w:pPr>
        <w:pStyle w:val="170"/>
        <w:numPr>
          <w:ilvl w:val="3"/>
          <w:numId w:val="0"/>
        </w:numPr>
        <w:rPr>
          <w:rFonts w:hint="eastAsia"/>
          <w:lang w:val="en-US" w:eastAsia="zh-CN"/>
        </w:rPr>
      </w:pPr>
      <w:r>
        <w:rPr>
          <w:rFonts w:hint="eastAsia" w:ascii="黑体" w:hAnsi="Times New Roman" w:eastAsia="黑体" w:cs="Times New Roman"/>
          <w:sz w:val="21"/>
          <w:lang w:val="en-US" w:eastAsia="zh-CN" w:bidi="ar-SA"/>
        </w:rPr>
        <w:t>6.1.1</w:t>
      </w:r>
      <w:r>
        <w:rPr>
          <w:rFonts w:hint="eastAsia" w:ascii="黑体" w:eastAsia="黑体" w:cs="Times New Roman"/>
          <w:sz w:val="21"/>
          <w:lang w:val="en-US" w:eastAsia="zh-CN" w:bidi="ar-SA"/>
        </w:rPr>
        <w:t xml:space="preserve">  </w:t>
      </w:r>
      <w:r>
        <w:rPr>
          <w:rFonts w:hint="eastAsia"/>
          <w:lang w:val="en-US" w:eastAsia="zh-CN"/>
        </w:rPr>
        <w:t>一级指标包括：基础信用（15分）、经营能力（30分）、履约行为（25分）、公共信用（20分）、ESG责任（10分）、创新发展（加分项，最高15分）。</w:t>
      </w:r>
    </w:p>
    <w:p w14:paraId="1C870625">
      <w:pPr>
        <w:pStyle w:val="170"/>
        <w:numPr>
          <w:ilvl w:val="3"/>
          <w:numId w:val="0"/>
        </w:numPr>
        <w:rPr>
          <w:rFonts w:hint="eastAsia"/>
          <w:lang w:val="en-US" w:eastAsia="zh-CN"/>
        </w:rPr>
      </w:pPr>
      <w:r>
        <w:rPr>
          <w:rFonts w:hint="eastAsia" w:ascii="黑体" w:hAnsi="Times New Roman" w:eastAsia="黑体" w:cs="Times New Roman"/>
          <w:sz w:val="21"/>
          <w:lang w:val="en-US" w:eastAsia="zh-CN" w:bidi="ar-SA"/>
        </w:rPr>
        <w:t>6.1.2</w:t>
      </w:r>
      <w:r>
        <w:rPr>
          <w:rFonts w:hint="eastAsia" w:ascii="黑体" w:eastAsia="黑体" w:cs="Times New Roman"/>
          <w:sz w:val="21"/>
          <w:lang w:val="en-US" w:eastAsia="zh-CN" w:bidi="ar-SA"/>
        </w:rPr>
        <w:t xml:space="preserve">  </w:t>
      </w:r>
      <w:r>
        <w:rPr>
          <w:rFonts w:hint="eastAsia"/>
          <w:lang w:val="en-US" w:eastAsia="zh-CN"/>
        </w:rPr>
        <w:t>二级指标在一级指标下细分，共24项，涵盖企业运营的各个关键领域。</w:t>
      </w:r>
    </w:p>
    <w:p w14:paraId="3F424FFE">
      <w:pPr>
        <w:pStyle w:val="170"/>
        <w:numPr>
          <w:ilvl w:val="3"/>
          <w:numId w:val="0"/>
        </w:numPr>
        <w:rPr>
          <w:rFonts w:hint="eastAsia"/>
          <w:lang w:val="en-US" w:eastAsia="zh-CN"/>
        </w:rPr>
      </w:pPr>
      <w:r>
        <w:rPr>
          <w:rFonts w:hint="eastAsia" w:ascii="黑体" w:hAnsi="Times New Roman" w:eastAsia="黑体" w:cs="Times New Roman"/>
          <w:sz w:val="21"/>
          <w:lang w:val="en-US" w:eastAsia="zh-CN" w:bidi="ar-SA"/>
        </w:rPr>
        <w:t>6.1.3</w:t>
      </w:r>
      <w:r>
        <w:rPr>
          <w:rFonts w:hint="eastAsia" w:ascii="黑体" w:eastAsia="黑体" w:cs="Times New Roman"/>
          <w:sz w:val="21"/>
          <w:lang w:val="en-US" w:eastAsia="zh-CN" w:bidi="ar-SA"/>
        </w:rPr>
        <w:t xml:space="preserve">  </w:t>
      </w:r>
      <w:r>
        <w:rPr>
          <w:rFonts w:hint="eastAsia"/>
          <w:lang w:val="en-US" w:eastAsia="zh-CN"/>
        </w:rPr>
        <w:t>三级指标在二级指标下进一步细化，共69项，实现定性评价与定量评价相结合。</w:t>
      </w:r>
    </w:p>
    <w:p w14:paraId="62A141EE">
      <w:pPr>
        <w:pStyle w:val="170"/>
        <w:numPr>
          <w:ilvl w:val="3"/>
          <w:numId w:val="0"/>
        </w:numPr>
        <w:rPr>
          <w:rFonts w:hint="default" w:ascii="黑体" w:hAnsi="Times New Roman" w:eastAsia="黑体" w:cs="Times New Roman"/>
          <w:sz w:val="21"/>
          <w:lang w:val="en-US" w:eastAsia="zh-CN" w:bidi="ar-SA"/>
        </w:rPr>
      </w:pPr>
      <w:r>
        <w:rPr>
          <w:rFonts w:hint="eastAsia" w:ascii="黑体" w:hAnsi="Times New Roman" w:eastAsia="黑体" w:cs="Times New Roman"/>
          <w:sz w:val="21"/>
          <w:lang w:val="en-US" w:eastAsia="zh-CN" w:bidi="ar-SA"/>
        </w:rPr>
        <w:t>6.1.4</w:t>
      </w:r>
      <w:r>
        <w:rPr>
          <w:rFonts w:hint="eastAsia" w:ascii="黑体" w:eastAsia="黑体" w:cs="Times New Roman"/>
          <w:sz w:val="21"/>
          <w:lang w:val="en-US" w:eastAsia="zh-CN" w:bidi="ar-SA"/>
        </w:rPr>
        <w:t xml:space="preserve">  </w:t>
      </w:r>
      <w:r>
        <w:rPr>
          <w:rFonts w:hint="eastAsia"/>
          <w:lang w:val="en-US" w:eastAsia="zh-CN"/>
        </w:rPr>
        <w:t>四级指标详见附录 A（规范性）表 A.1。</w:t>
      </w:r>
    </w:p>
    <w:p w14:paraId="2476C5B6">
      <w:pPr>
        <w:pStyle w:val="41"/>
        <w:numPr>
          <w:ilvl w:val="2"/>
          <w:numId w:val="0"/>
        </w:numPr>
        <w:spacing w:before="120" w:after="120"/>
        <w:rPr>
          <w:rFonts w:hint="eastAsia" w:cs="Times New Roman"/>
          <w:sz w:val="21"/>
          <w:lang w:val="en-US" w:eastAsia="zh-CN" w:bidi="ar-SA"/>
        </w:rPr>
      </w:pPr>
      <w:r>
        <w:rPr>
          <w:rFonts w:hint="eastAsia" w:cs="Times New Roman"/>
          <w:sz w:val="21"/>
          <w:lang w:val="en-US" w:eastAsia="zh-CN" w:bidi="ar-SA"/>
        </w:rPr>
        <w:t>6.2  基础信用指标（15分）</w:t>
      </w:r>
    </w:p>
    <w:p w14:paraId="6CEECEFA">
      <w:pPr>
        <w:pStyle w:val="170"/>
        <w:numPr>
          <w:ilvl w:val="3"/>
          <w:numId w:val="0"/>
        </w:numPr>
        <w:ind w:leftChars="0" w:firstLine="420" w:firstLineChars="200"/>
        <w:rPr>
          <w:rFonts w:hint="eastAsia"/>
          <w:lang w:val="en-US" w:eastAsia="zh-CN"/>
        </w:rPr>
      </w:pPr>
      <w:r>
        <w:rPr>
          <w:rFonts w:hint="eastAsia"/>
          <w:lang w:val="en-US" w:eastAsia="zh-CN"/>
        </w:rPr>
        <w:t>基础信用指标是从企业基本资质、法人治理、内部控制及行业自律等方面反映评价对象基础信用状况的指标。</w:t>
      </w:r>
    </w:p>
    <w:p w14:paraId="4E8CBD41">
      <w:pPr>
        <w:pStyle w:val="170"/>
        <w:numPr>
          <w:ilvl w:val="3"/>
          <w:numId w:val="0"/>
        </w:numPr>
        <w:rPr>
          <w:rFonts w:hint="eastAsia"/>
          <w:lang w:val="en-US" w:eastAsia="zh-CN"/>
        </w:rPr>
      </w:pPr>
      <w:r>
        <w:rPr>
          <w:rFonts w:hint="eastAsia" w:ascii="黑体" w:hAnsi="Times New Roman" w:eastAsia="黑体" w:cs="Times New Roman"/>
          <w:sz w:val="21"/>
          <w:lang w:val="en-US" w:eastAsia="zh-CN" w:bidi="ar-SA"/>
        </w:rPr>
        <w:t>6.2.1</w:t>
      </w:r>
      <w:r>
        <w:rPr>
          <w:rFonts w:hint="eastAsia" w:ascii="黑体" w:eastAsia="黑体" w:cs="Times New Roman"/>
          <w:sz w:val="21"/>
          <w:lang w:val="en-US" w:eastAsia="zh-CN" w:bidi="ar-SA"/>
        </w:rPr>
        <w:t xml:space="preserve">  </w:t>
      </w:r>
      <w:r>
        <w:rPr>
          <w:rFonts w:hint="eastAsia"/>
          <w:lang w:val="en-US" w:eastAsia="zh-CN"/>
        </w:rPr>
        <w:t>资质合规指标（5分）：反映企业依法取得并持续保持相关经营资质的状况。</w:t>
      </w:r>
    </w:p>
    <w:p w14:paraId="62298B33">
      <w:pPr>
        <w:pStyle w:val="170"/>
        <w:numPr>
          <w:ilvl w:val="3"/>
          <w:numId w:val="0"/>
        </w:numPr>
        <w:rPr>
          <w:rFonts w:hint="eastAsia"/>
          <w:lang w:val="en-US" w:eastAsia="zh-CN"/>
        </w:rPr>
      </w:pPr>
      <w:r>
        <w:rPr>
          <w:rFonts w:hint="eastAsia" w:ascii="黑体" w:hAnsi="Times New Roman" w:eastAsia="黑体" w:cs="Times New Roman"/>
          <w:sz w:val="21"/>
          <w:lang w:val="en-US" w:eastAsia="zh-CN" w:bidi="ar-SA"/>
        </w:rPr>
        <w:t>6.2.2</w:t>
      </w:r>
      <w:r>
        <w:rPr>
          <w:rFonts w:hint="eastAsia" w:ascii="黑体" w:eastAsia="黑体" w:cs="Times New Roman"/>
          <w:sz w:val="21"/>
          <w:lang w:val="en-US" w:eastAsia="zh-CN" w:bidi="ar-SA"/>
        </w:rPr>
        <w:t xml:space="preserve">  </w:t>
      </w:r>
      <w:r>
        <w:rPr>
          <w:rFonts w:hint="eastAsia"/>
          <w:lang w:val="en-US" w:eastAsia="zh-CN"/>
        </w:rPr>
        <w:t>法人治理指标（4分）：反映企业法人治理结构的健全性和运行有效性。</w:t>
      </w:r>
    </w:p>
    <w:p w14:paraId="200687D2">
      <w:pPr>
        <w:pStyle w:val="170"/>
        <w:numPr>
          <w:ilvl w:val="3"/>
          <w:numId w:val="0"/>
        </w:numPr>
        <w:rPr>
          <w:rFonts w:hint="eastAsia"/>
          <w:lang w:val="en-US" w:eastAsia="zh-CN"/>
        </w:rPr>
      </w:pPr>
      <w:r>
        <w:rPr>
          <w:rFonts w:hint="eastAsia" w:ascii="黑体" w:hAnsi="Times New Roman" w:eastAsia="黑体" w:cs="Times New Roman"/>
          <w:sz w:val="21"/>
          <w:lang w:val="en-US" w:eastAsia="zh-CN" w:bidi="ar-SA"/>
        </w:rPr>
        <w:t>6.2.3</w:t>
      </w:r>
      <w:r>
        <w:rPr>
          <w:rFonts w:hint="eastAsia" w:ascii="黑体" w:eastAsia="黑体" w:cs="Times New Roman"/>
          <w:sz w:val="21"/>
          <w:lang w:val="en-US" w:eastAsia="zh-CN" w:bidi="ar-SA"/>
        </w:rPr>
        <w:t xml:space="preserve">  </w:t>
      </w:r>
      <w:r>
        <w:rPr>
          <w:rFonts w:hint="eastAsia"/>
          <w:lang w:val="en-US" w:eastAsia="zh-CN"/>
        </w:rPr>
        <w:t>内部控制指标（4分）：反映企业内部管理制度的健全性和执行有效性。</w:t>
      </w:r>
    </w:p>
    <w:p w14:paraId="1C096986">
      <w:pPr>
        <w:pStyle w:val="170"/>
        <w:numPr>
          <w:ilvl w:val="3"/>
          <w:numId w:val="0"/>
        </w:numPr>
        <w:rPr>
          <w:rFonts w:hint="eastAsia"/>
          <w:lang w:val="en-US" w:eastAsia="zh-CN"/>
        </w:rPr>
      </w:pPr>
      <w:r>
        <w:rPr>
          <w:rFonts w:hint="eastAsia" w:ascii="黑体" w:hAnsi="Times New Roman" w:eastAsia="黑体" w:cs="Times New Roman"/>
          <w:sz w:val="21"/>
          <w:lang w:val="en-US" w:eastAsia="zh-CN" w:bidi="ar-SA"/>
        </w:rPr>
        <w:t>6.2.4</w:t>
      </w:r>
      <w:r>
        <w:rPr>
          <w:rFonts w:hint="eastAsia" w:ascii="黑体" w:eastAsia="黑体" w:cs="Times New Roman"/>
          <w:sz w:val="21"/>
          <w:lang w:val="en-US" w:eastAsia="zh-CN" w:bidi="ar-SA"/>
        </w:rPr>
        <w:t xml:space="preserve">  </w:t>
      </w:r>
      <w:r>
        <w:rPr>
          <w:rFonts w:hint="eastAsia"/>
          <w:lang w:val="en-US" w:eastAsia="zh-CN"/>
        </w:rPr>
        <w:t>行业自律指标（2分）：反映企业遵守行业自律规范、参与行业组织建设的情况。</w:t>
      </w:r>
    </w:p>
    <w:p w14:paraId="6E9B1120">
      <w:pPr>
        <w:pStyle w:val="41"/>
        <w:numPr>
          <w:ilvl w:val="2"/>
          <w:numId w:val="0"/>
        </w:numPr>
        <w:spacing w:before="120" w:after="120"/>
        <w:rPr>
          <w:rFonts w:hint="eastAsia" w:cs="Times New Roman"/>
          <w:sz w:val="21"/>
          <w:lang w:val="en-US" w:eastAsia="zh-CN" w:bidi="ar-SA"/>
        </w:rPr>
      </w:pPr>
      <w:r>
        <w:rPr>
          <w:rFonts w:hint="eastAsia" w:cs="Times New Roman"/>
          <w:sz w:val="21"/>
          <w:lang w:val="en-US" w:eastAsia="zh-CN" w:bidi="ar-SA"/>
        </w:rPr>
        <w:t>6.3  经营能力指标（30分）</w:t>
      </w:r>
    </w:p>
    <w:p w14:paraId="46D726D3">
      <w:pPr>
        <w:pStyle w:val="170"/>
        <w:numPr>
          <w:ilvl w:val="3"/>
          <w:numId w:val="0"/>
        </w:numPr>
        <w:ind w:leftChars="0" w:firstLine="420" w:firstLineChars="200"/>
        <w:rPr>
          <w:rFonts w:hint="eastAsia"/>
          <w:lang w:val="en-US" w:eastAsia="zh-CN"/>
        </w:rPr>
      </w:pPr>
      <w:r>
        <w:rPr>
          <w:rFonts w:hint="eastAsia"/>
          <w:lang w:val="en-US" w:eastAsia="zh-CN"/>
        </w:rPr>
        <w:t>经营能力指标是从专业人员配置、经营场所与设施、业务经营实绩、财务管理及数字化经营能力等方面反映评价对象专业经营能力的指标。</w:t>
      </w:r>
    </w:p>
    <w:p w14:paraId="0085FE2B">
      <w:pPr>
        <w:pStyle w:val="170"/>
        <w:numPr>
          <w:ilvl w:val="3"/>
          <w:numId w:val="0"/>
        </w:numPr>
        <w:rPr>
          <w:rFonts w:hint="eastAsia"/>
          <w:lang w:val="en-US" w:eastAsia="zh-CN"/>
        </w:rPr>
      </w:pPr>
      <w:r>
        <w:rPr>
          <w:rFonts w:hint="eastAsia" w:ascii="黑体" w:hAnsi="Times New Roman" w:eastAsia="黑体" w:cs="Times New Roman"/>
          <w:sz w:val="21"/>
          <w:lang w:val="en-US" w:eastAsia="zh-CN" w:bidi="ar-SA"/>
        </w:rPr>
        <w:t>6.3.1</w:t>
      </w:r>
      <w:r>
        <w:rPr>
          <w:rFonts w:hint="eastAsia" w:ascii="黑体" w:eastAsia="黑体" w:cs="Times New Roman"/>
          <w:sz w:val="21"/>
          <w:lang w:val="en-US" w:eastAsia="zh-CN" w:bidi="ar-SA"/>
        </w:rPr>
        <w:t xml:space="preserve">  </w:t>
      </w:r>
      <w:r>
        <w:rPr>
          <w:rFonts w:hint="eastAsia"/>
          <w:lang w:val="en-US" w:eastAsia="zh-CN"/>
        </w:rPr>
        <w:t>专业人员配置指标（8分）：反映企业拍卖师及其他专业人员的配备情况。</w:t>
      </w:r>
    </w:p>
    <w:p w14:paraId="4FAC63C2">
      <w:pPr>
        <w:pStyle w:val="170"/>
        <w:numPr>
          <w:ilvl w:val="3"/>
          <w:numId w:val="0"/>
        </w:numPr>
        <w:rPr>
          <w:rFonts w:hint="eastAsia"/>
          <w:lang w:val="en-US" w:eastAsia="zh-CN"/>
        </w:rPr>
      </w:pPr>
      <w:r>
        <w:rPr>
          <w:rFonts w:hint="eastAsia" w:ascii="黑体" w:hAnsi="Times New Roman" w:eastAsia="黑体" w:cs="Times New Roman"/>
          <w:sz w:val="21"/>
          <w:lang w:val="en-US" w:eastAsia="zh-CN" w:bidi="ar-SA"/>
        </w:rPr>
        <w:t>6.3.2</w:t>
      </w:r>
      <w:r>
        <w:rPr>
          <w:rFonts w:hint="eastAsia" w:ascii="黑体" w:eastAsia="黑体" w:cs="Times New Roman"/>
          <w:sz w:val="21"/>
          <w:lang w:val="en-US" w:eastAsia="zh-CN" w:bidi="ar-SA"/>
        </w:rPr>
        <w:t xml:space="preserve">  </w:t>
      </w:r>
      <w:r>
        <w:rPr>
          <w:rFonts w:hint="eastAsia"/>
          <w:lang w:val="en-US" w:eastAsia="zh-CN"/>
        </w:rPr>
        <w:t>经营场所与设施指标（5分）：反映企业开展拍卖活动的硬件条件。</w:t>
      </w:r>
    </w:p>
    <w:p w14:paraId="5CF695A6">
      <w:pPr>
        <w:pStyle w:val="170"/>
        <w:numPr>
          <w:ilvl w:val="3"/>
          <w:numId w:val="0"/>
        </w:numPr>
        <w:rPr>
          <w:rFonts w:hint="eastAsia"/>
          <w:lang w:val="en-US" w:eastAsia="zh-CN"/>
        </w:rPr>
      </w:pPr>
      <w:r>
        <w:rPr>
          <w:rFonts w:hint="eastAsia" w:ascii="黑体" w:hAnsi="Times New Roman" w:eastAsia="黑体" w:cs="Times New Roman"/>
          <w:sz w:val="21"/>
          <w:lang w:val="en-US" w:eastAsia="zh-CN" w:bidi="ar-SA"/>
        </w:rPr>
        <w:t>6.3.3</w:t>
      </w:r>
      <w:r>
        <w:rPr>
          <w:rFonts w:hint="eastAsia" w:ascii="黑体" w:eastAsia="黑体" w:cs="Times New Roman"/>
          <w:sz w:val="21"/>
          <w:lang w:val="en-US" w:eastAsia="zh-CN" w:bidi="ar-SA"/>
        </w:rPr>
        <w:t xml:space="preserve">  </w:t>
      </w:r>
      <w:r>
        <w:rPr>
          <w:rFonts w:hint="eastAsia"/>
          <w:lang w:val="en-US" w:eastAsia="zh-CN"/>
        </w:rPr>
        <w:t>业务经营能力指标（10分）：反映企业经营规模、业绩及市场竞争力。</w:t>
      </w:r>
    </w:p>
    <w:p w14:paraId="16D2B7D3">
      <w:pPr>
        <w:pStyle w:val="170"/>
        <w:numPr>
          <w:ilvl w:val="3"/>
          <w:numId w:val="0"/>
        </w:numPr>
        <w:rPr>
          <w:rFonts w:hint="eastAsia"/>
          <w:lang w:val="en-US" w:eastAsia="zh-CN"/>
        </w:rPr>
      </w:pPr>
      <w:r>
        <w:rPr>
          <w:rFonts w:hint="eastAsia" w:ascii="黑体" w:hAnsi="Times New Roman" w:eastAsia="黑体" w:cs="Times New Roman"/>
          <w:sz w:val="21"/>
          <w:lang w:val="en-US" w:eastAsia="zh-CN" w:bidi="ar-SA"/>
        </w:rPr>
        <w:t>6.3.4</w:t>
      </w:r>
      <w:r>
        <w:rPr>
          <w:rFonts w:hint="eastAsia" w:ascii="黑体" w:eastAsia="黑体" w:cs="Times New Roman"/>
          <w:sz w:val="21"/>
          <w:lang w:val="en-US" w:eastAsia="zh-CN" w:bidi="ar-SA"/>
        </w:rPr>
        <w:t xml:space="preserve">  </w:t>
      </w:r>
      <w:r>
        <w:rPr>
          <w:rFonts w:hint="eastAsia"/>
          <w:lang w:val="en-US" w:eastAsia="zh-CN"/>
        </w:rPr>
        <w:t>财务管理能力指标（5分）：反映企业财务状况的稳健性和资金结算的规范性。</w:t>
      </w:r>
    </w:p>
    <w:p w14:paraId="4549F3A9">
      <w:pPr>
        <w:pStyle w:val="170"/>
        <w:numPr>
          <w:ilvl w:val="3"/>
          <w:numId w:val="0"/>
        </w:numPr>
        <w:rPr>
          <w:rFonts w:hint="eastAsia"/>
          <w:lang w:val="en-US" w:eastAsia="zh-CN"/>
        </w:rPr>
      </w:pPr>
      <w:r>
        <w:rPr>
          <w:rFonts w:hint="eastAsia" w:ascii="黑体" w:hAnsi="Times New Roman" w:eastAsia="黑体" w:cs="Times New Roman"/>
          <w:sz w:val="21"/>
          <w:lang w:val="en-US" w:eastAsia="zh-CN" w:bidi="ar-SA"/>
        </w:rPr>
        <w:t>6.3.5</w:t>
      </w:r>
      <w:r>
        <w:rPr>
          <w:rFonts w:hint="eastAsia" w:ascii="黑体" w:eastAsia="黑体" w:cs="Times New Roman"/>
          <w:sz w:val="21"/>
          <w:lang w:val="en-US" w:eastAsia="zh-CN" w:bidi="ar-SA"/>
        </w:rPr>
        <w:t xml:space="preserve">  </w:t>
      </w:r>
      <w:r>
        <w:rPr>
          <w:rFonts w:hint="eastAsia"/>
          <w:lang w:val="en-US" w:eastAsia="zh-CN"/>
        </w:rPr>
        <w:t>数字化经营能力指标（2分）：反映企业运用信息技术提升经营效率和服务质量的能力。</w:t>
      </w:r>
    </w:p>
    <w:p w14:paraId="07BA1E6E">
      <w:pPr>
        <w:pStyle w:val="41"/>
        <w:numPr>
          <w:ilvl w:val="2"/>
          <w:numId w:val="0"/>
        </w:numPr>
        <w:spacing w:before="120" w:after="120"/>
        <w:rPr>
          <w:rFonts w:hint="eastAsia" w:cs="Times New Roman"/>
          <w:sz w:val="21"/>
          <w:lang w:val="en-US" w:eastAsia="zh-CN" w:bidi="ar-SA"/>
        </w:rPr>
      </w:pPr>
      <w:r>
        <w:rPr>
          <w:rFonts w:hint="eastAsia" w:cs="Times New Roman"/>
          <w:sz w:val="21"/>
          <w:lang w:val="en-US" w:eastAsia="zh-CN" w:bidi="ar-SA"/>
        </w:rPr>
        <w:t>6.4  履约行为指标（25分）</w:t>
      </w:r>
    </w:p>
    <w:p w14:paraId="5F3E10D1">
      <w:pPr>
        <w:pStyle w:val="170"/>
        <w:numPr>
          <w:ilvl w:val="3"/>
          <w:numId w:val="0"/>
        </w:numPr>
        <w:ind w:leftChars="0" w:firstLine="420" w:firstLineChars="200"/>
        <w:rPr>
          <w:rFonts w:hint="eastAsia"/>
          <w:lang w:val="en-US" w:eastAsia="zh-CN"/>
        </w:rPr>
      </w:pPr>
      <w:r>
        <w:rPr>
          <w:rFonts w:hint="eastAsia"/>
          <w:lang w:val="en-US" w:eastAsia="zh-CN"/>
        </w:rPr>
        <w:t>履约行为指标是从拍卖业务合规操作、合同履行、权益保障及投诉处理等方面反映评价对象履约践诺状况的指标。</w:t>
      </w:r>
    </w:p>
    <w:p w14:paraId="31ABF7DB">
      <w:pPr>
        <w:pStyle w:val="170"/>
        <w:numPr>
          <w:ilvl w:val="3"/>
          <w:numId w:val="0"/>
        </w:numPr>
        <w:rPr>
          <w:rFonts w:hint="eastAsia"/>
          <w:lang w:val="en-US" w:eastAsia="zh-CN"/>
        </w:rPr>
      </w:pPr>
      <w:r>
        <w:rPr>
          <w:rFonts w:hint="eastAsia" w:ascii="黑体" w:hAnsi="Times New Roman" w:eastAsia="黑体" w:cs="Times New Roman"/>
          <w:sz w:val="21"/>
          <w:lang w:val="en-US" w:eastAsia="zh-CN" w:bidi="ar-SA"/>
        </w:rPr>
        <w:t>6.4.1</w:t>
      </w:r>
      <w:r>
        <w:rPr>
          <w:rFonts w:hint="eastAsia" w:ascii="黑体" w:eastAsia="黑体" w:cs="Times New Roman"/>
          <w:sz w:val="21"/>
          <w:lang w:val="en-US" w:eastAsia="zh-CN" w:bidi="ar-SA"/>
        </w:rPr>
        <w:t xml:space="preserve">  </w:t>
      </w:r>
      <w:r>
        <w:rPr>
          <w:rFonts w:hint="eastAsia"/>
          <w:lang w:val="en-US" w:eastAsia="zh-CN"/>
        </w:rPr>
        <w:t>拍卖程序合规指标（8分）：反映企业拍卖活动各环节的规范程度。</w:t>
      </w:r>
    </w:p>
    <w:p w14:paraId="2C9B816F">
      <w:pPr>
        <w:pStyle w:val="170"/>
        <w:numPr>
          <w:ilvl w:val="3"/>
          <w:numId w:val="0"/>
        </w:numPr>
        <w:rPr>
          <w:rFonts w:hint="eastAsia"/>
          <w:lang w:val="en-US" w:eastAsia="zh-CN"/>
        </w:rPr>
      </w:pPr>
      <w:r>
        <w:rPr>
          <w:rFonts w:hint="eastAsia" w:ascii="黑体" w:hAnsi="Times New Roman" w:eastAsia="黑体" w:cs="Times New Roman"/>
          <w:sz w:val="21"/>
          <w:lang w:val="en-US" w:eastAsia="zh-CN" w:bidi="ar-SA"/>
        </w:rPr>
        <w:t>6.4.2</w:t>
      </w:r>
      <w:r>
        <w:rPr>
          <w:rFonts w:hint="eastAsia" w:ascii="黑体" w:eastAsia="黑体" w:cs="Times New Roman"/>
          <w:sz w:val="21"/>
          <w:lang w:val="en-US" w:eastAsia="zh-CN" w:bidi="ar-SA"/>
        </w:rPr>
        <w:t xml:space="preserve">  </w:t>
      </w:r>
      <w:r>
        <w:rPr>
          <w:rFonts w:hint="eastAsia"/>
          <w:lang w:val="en-US" w:eastAsia="zh-CN"/>
        </w:rPr>
        <w:t>信息披露指标（5分）：反映企业信息披露的充分性、准确性和及时性。</w:t>
      </w:r>
    </w:p>
    <w:p w14:paraId="3F8814C1">
      <w:pPr>
        <w:pStyle w:val="170"/>
        <w:numPr>
          <w:ilvl w:val="3"/>
          <w:numId w:val="0"/>
        </w:numPr>
        <w:rPr>
          <w:rFonts w:hint="eastAsia"/>
          <w:lang w:val="en-US" w:eastAsia="zh-CN"/>
        </w:rPr>
      </w:pPr>
      <w:r>
        <w:rPr>
          <w:rFonts w:hint="eastAsia" w:ascii="黑体" w:hAnsi="Times New Roman" w:eastAsia="黑体" w:cs="Times New Roman"/>
          <w:sz w:val="21"/>
          <w:lang w:val="en-US" w:eastAsia="zh-CN" w:bidi="ar-SA"/>
        </w:rPr>
        <w:t>6.4.3</w:t>
      </w:r>
      <w:r>
        <w:rPr>
          <w:rFonts w:hint="eastAsia" w:ascii="黑体" w:eastAsia="黑体" w:cs="Times New Roman"/>
          <w:sz w:val="21"/>
          <w:lang w:val="en-US" w:eastAsia="zh-CN" w:bidi="ar-SA"/>
        </w:rPr>
        <w:t xml:space="preserve">  </w:t>
      </w:r>
      <w:r>
        <w:rPr>
          <w:rFonts w:hint="eastAsia"/>
          <w:lang w:val="en-US" w:eastAsia="zh-CN"/>
        </w:rPr>
        <w:t>委托人权益保障指标（5分）：反映企业对委托人合法权益的保障情况。</w:t>
      </w:r>
    </w:p>
    <w:p w14:paraId="6EAD5F10">
      <w:pPr>
        <w:pStyle w:val="170"/>
        <w:numPr>
          <w:ilvl w:val="3"/>
          <w:numId w:val="0"/>
        </w:numPr>
        <w:rPr>
          <w:rFonts w:hint="eastAsia"/>
          <w:lang w:val="en-US" w:eastAsia="zh-CN"/>
        </w:rPr>
      </w:pPr>
      <w:r>
        <w:rPr>
          <w:rFonts w:hint="eastAsia" w:ascii="黑体" w:hAnsi="Times New Roman" w:eastAsia="黑体" w:cs="Times New Roman"/>
          <w:sz w:val="21"/>
          <w:lang w:val="en-US" w:eastAsia="zh-CN" w:bidi="ar-SA"/>
        </w:rPr>
        <w:t>6.4.4</w:t>
      </w:r>
      <w:r>
        <w:rPr>
          <w:rFonts w:hint="eastAsia" w:ascii="黑体" w:eastAsia="黑体" w:cs="Times New Roman"/>
          <w:sz w:val="21"/>
          <w:lang w:val="en-US" w:eastAsia="zh-CN" w:bidi="ar-SA"/>
        </w:rPr>
        <w:t xml:space="preserve">  </w:t>
      </w:r>
      <w:r>
        <w:rPr>
          <w:rFonts w:hint="eastAsia"/>
          <w:lang w:val="en-US" w:eastAsia="zh-CN"/>
        </w:rPr>
        <w:t>竞买人权益保障指标（4分）：反映企业对竞买人合法权益的保障情况。</w:t>
      </w:r>
    </w:p>
    <w:p w14:paraId="148CB77C">
      <w:pPr>
        <w:pStyle w:val="170"/>
        <w:numPr>
          <w:ilvl w:val="3"/>
          <w:numId w:val="0"/>
        </w:numPr>
        <w:rPr>
          <w:rFonts w:hint="eastAsia"/>
          <w:lang w:val="en-US" w:eastAsia="zh-CN"/>
        </w:rPr>
      </w:pPr>
      <w:r>
        <w:rPr>
          <w:rFonts w:hint="eastAsia" w:ascii="黑体" w:hAnsi="Times New Roman" w:eastAsia="黑体" w:cs="Times New Roman"/>
          <w:sz w:val="21"/>
          <w:lang w:val="en-US" w:eastAsia="zh-CN" w:bidi="ar-SA"/>
        </w:rPr>
        <w:t>6.4.5</w:t>
      </w:r>
      <w:r>
        <w:rPr>
          <w:rFonts w:hint="eastAsia" w:ascii="黑体" w:eastAsia="黑体" w:cs="Times New Roman"/>
          <w:sz w:val="21"/>
          <w:lang w:val="en-US" w:eastAsia="zh-CN" w:bidi="ar-SA"/>
        </w:rPr>
        <w:t xml:space="preserve">  </w:t>
      </w:r>
      <w:r>
        <w:rPr>
          <w:rFonts w:hint="eastAsia"/>
          <w:lang w:val="en-US" w:eastAsia="zh-CN"/>
        </w:rPr>
        <w:t>投诉处理指标（3分）：反映企业投诉处理机制的健全性和处理效果。</w:t>
      </w:r>
    </w:p>
    <w:p w14:paraId="6947369F">
      <w:pPr>
        <w:pStyle w:val="41"/>
        <w:numPr>
          <w:ilvl w:val="2"/>
          <w:numId w:val="0"/>
        </w:numPr>
        <w:spacing w:before="120" w:after="120"/>
        <w:rPr>
          <w:rFonts w:hint="eastAsia" w:cs="Times New Roman"/>
          <w:sz w:val="21"/>
          <w:lang w:val="en-US" w:eastAsia="zh-CN" w:bidi="ar-SA"/>
        </w:rPr>
      </w:pPr>
      <w:r>
        <w:rPr>
          <w:rFonts w:hint="eastAsia" w:cs="Times New Roman"/>
          <w:sz w:val="21"/>
          <w:lang w:val="en-US" w:eastAsia="zh-CN" w:bidi="ar-SA"/>
        </w:rPr>
        <w:t>6.5  公共信用指标（20分）</w:t>
      </w:r>
    </w:p>
    <w:p w14:paraId="4996B041">
      <w:pPr>
        <w:pStyle w:val="170"/>
        <w:numPr>
          <w:ilvl w:val="3"/>
          <w:numId w:val="0"/>
        </w:numPr>
        <w:ind w:leftChars="0" w:firstLine="420" w:firstLineChars="200"/>
        <w:rPr>
          <w:rFonts w:hint="eastAsia"/>
          <w:lang w:val="en-US" w:eastAsia="zh-CN"/>
        </w:rPr>
      </w:pPr>
      <w:r>
        <w:rPr>
          <w:rFonts w:hint="eastAsia"/>
          <w:lang w:val="en-US" w:eastAsia="zh-CN"/>
        </w:rPr>
        <w:t>公共信用指标是从政府监管、司法信用、纳税信用及社会评价等方面反映评价对象公共信用状况的指标。</w:t>
      </w:r>
    </w:p>
    <w:p w14:paraId="478B3C05">
      <w:pPr>
        <w:pStyle w:val="170"/>
        <w:numPr>
          <w:ilvl w:val="3"/>
          <w:numId w:val="0"/>
        </w:numPr>
        <w:rPr>
          <w:rFonts w:hint="eastAsia"/>
          <w:lang w:val="en-US" w:eastAsia="zh-CN"/>
        </w:rPr>
      </w:pPr>
      <w:r>
        <w:rPr>
          <w:rFonts w:hint="eastAsia" w:ascii="黑体" w:hAnsi="Times New Roman" w:eastAsia="黑体" w:cs="Times New Roman"/>
          <w:sz w:val="21"/>
          <w:lang w:val="en-US" w:eastAsia="zh-CN" w:bidi="ar-SA"/>
        </w:rPr>
        <w:t>6.5.1</w:t>
      </w:r>
      <w:r>
        <w:rPr>
          <w:rFonts w:hint="eastAsia" w:ascii="黑体" w:eastAsia="黑体" w:cs="Times New Roman"/>
          <w:sz w:val="21"/>
          <w:lang w:val="en-US" w:eastAsia="zh-CN" w:bidi="ar-SA"/>
        </w:rPr>
        <w:t xml:space="preserve">  </w:t>
      </w:r>
      <w:r>
        <w:rPr>
          <w:rFonts w:hint="eastAsia"/>
          <w:lang w:val="en-US" w:eastAsia="zh-CN"/>
        </w:rPr>
        <w:t>行政监管记录指标（8分）：反映企业接受行政管理的情况。</w:t>
      </w:r>
    </w:p>
    <w:p w14:paraId="20F92897">
      <w:pPr>
        <w:pStyle w:val="170"/>
        <w:numPr>
          <w:ilvl w:val="3"/>
          <w:numId w:val="0"/>
        </w:numPr>
        <w:rPr>
          <w:rFonts w:hint="eastAsia"/>
          <w:lang w:val="en-US" w:eastAsia="zh-CN"/>
        </w:rPr>
      </w:pPr>
      <w:r>
        <w:rPr>
          <w:rFonts w:hint="eastAsia" w:ascii="黑体" w:hAnsi="Times New Roman" w:eastAsia="黑体" w:cs="Times New Roman"/>
          <w:sz w:val="21"/>
          <w:lang w:val="en-US" w:eastAsia="zh-CN" w:bidi="ar-SA"/>
        </w:rPr>
        <w:t>6.5.2</w:t>
      </w:r>
      <w:r>
        <w:rPr>
          <w:rFonts w:hint="eastAsia" w:ascii="黑体" w:eastAsia="黑体" w:cs="Times New Roman"/>
          <w:sz w:val="21"/>
          <w:lang w:val="en-US" w:eastAsia="zh-CN" w:bidi="ar-SA"/>
        </w:rPr>
        <w:t xml:space="preserve">  </w:t>
      </w:r>
      <w:r>
        <w:rPr>
          <w:rFonts w:hint="eastAsia"/>
          <w:lang w:val="en-US" w:eastAsia="zh-CN"/>
        </w:rPr>
        <w:t>司法信用状态指标（4分）：反映企业涉诉及执行情况。</w:t>
      </w:r>
    </w:p>
    <w:p w14:paraId="12BE7F23">
      <w:pPr>
        <w:pStyle w:val="170"/>
        <w:numPr>
          <w:ilvl w:val="3"/>
          <w:numId w:val="0"/>
        </w:numPr>
        <w:rPr>
          <w:rFonts w:hint="eastAsia"/>
          <w:lang w:val="en-US" w:eastAsia="zh-CN"/>
        </w:rPr>
      </w:pPr>
      <w:r>
        <w:rPr>
          <w:rFonts w:hint="eastAsia" w:ascii="黑体" w:hAnsi="Times New Roman" w:eastAsia="黑体" w:cs="Times New Roman"/>
          <w:sz w:val="21"/>
          <w:lang w:val="en-US" w:eastAsia="zh-CN" w:bidi="ar-SA"/>
        </w:rPr>
        <w:t>6.5.3</w:t>
      </w:r>
      <w:r>
        <w:rPr>
          <w:rFonts w:hint="eastAsia" w:ascii="黑体" w:eastAsia="黑体" w:cs="Times New Roman"/>
          <w:sz w:val="21"/>
          <w:lang w:val="en-US" w:eastAsia="zh-CN" w:bidi="ar-SA"/>
        </w:rPr>
        <w:t xml:space="preserve">  </w:t>
      </w:r>
      <w:r>
        <w:rPr>
          <w:rFonts w:hint="eastAsia"/>
          <w:lang w:val="en-US" w:eastAsia="zh-CN"/>
        </w:rPr>
        <w:t>纳税信用指标（4分）：反映企业纳税遵从度。</w:t>
      </w:r>
    </w:p>
    <w:p w14:paraId="68D3DAB2">
      <w:pPr>
        <w:pStyle w:val="170"/>
        <w:numPr>
          <w:ilvl w:val="3"/>
          <w:numId w:val="0"/>
        </w:numPr>
        <w:rPr>
          <w:rFonts w:hint="eastAsia"/>
          <w:lang w:val="en-US" w:eastAsia="zh-CN"/>
        </w:rPr>
      </w:pPr>
      <w:r>
        <w:rPr>
          <w:rFonts w:hint="eastAsia" w:ascii="黑体" w:hAnsi="Times New Roman" w:eastAsia="黑体" w:cs="Times New Roman"/>
          <w:sz w:val="21"/>
          <w:lang w:val="en-US" w:eastAsia="zh-CN" w:bidi="ar-SA"/>
        </w:rPr>
        <w:t>6.5.4</w:t>
      </w:r>
      <w:r>
        <w:rPr>
          <w:rFonts w:hint="eastAsia" w:ascii="黑体" w:eastAsia="黑体" w:cs="Times New Roman"/>
          <w:sz w:val="21"/>
          <w:lang w:val="en-US" w:eastAsia="zh-CN" w:bidi="ar-SA"/>
        </w:rPr>
        <w:t xml:space="preserve">  </w:t>
      </w:r>
      <w:r>
        <w:rPr>
          <w:rFonts w:hint="eastAsia"/>
          <w:lang w:val="en-US" w:eastAsia="zh-CN"/>
        </w:rPr>
        <w:t>社会荣誉与舆情指标（4分）：反映企业获得的社会评价。</w:t>
      </w:r>
    </w:p>
    <w:p w14:paraId="05A7FA1A">
      <w:pPr>
        <w:pStyle w:val="41"/>
        <w:numPr>
          <w:ilvl w:val="2"/>
          <w:numId w:val="0"/>
        </w:numPr>
        <w:spacing w:before="120" w:after="120"/>
        <w:rPr>
          <w:rFonts w:hint="eastAsia" w:cs="Times New Roman"/>
          <w:sz w:val="21"/>
          <w:lang w:val="en-US" w:eastAsia="zh-CN" w:bidi="ar-SA"/>
        </w:rPr>
      </w:pPr>
      <w:r>
        <w:rPr>
          <w:rFonts w:hint="eastAsia" w:cs="Times New Roman"/>
          <w:sz w:val="21"/>
          <w:lang w:val="en-US" w:eastAsia="zh-CN" w:bidi="ar-SA"/>
        </w:rPr>
        <w:t>6.6  ESG责任指标（10分）</w:t>
      </w:r>
    </w:p>
    <w:p w14:paraId="37CD7629">
      <w:pPr>
        <w:pStyle w:val="170"/>
        <w:numPr>
          <w:ilvl w:val="3"/>
          <w:numId w:val="0"/>
        </w:numPr>
        <w:ind w:firstLine="420" w:firstLineChars="200"/>
        <w:rPr>
          <w:rFonts w:hint="eastAsia"/>
          <w:lang w:val="en-US" w:eastAsia="zh-CN"/>
        </w:rPr>
      </w:pPr>
      <w:r>
        <w:rPr>
          <w:rFonts w:hint="eastAsia"/>
          <w:lang w:val="en-US" w:eastAsia="zh-CN"/>
        </w:rPr>
        <w:t>ESG责任指标是从环境责任、社会责任和公司治理三个方面反映评价对象可持续发展能力的指标。</w:t>
      </w:r>
    </w:p>
    <w:p w14:paraId="51F3C06B">
      <w:pPr>
        <w:pStyle w:val="170"/>
        <w:numPr>
          <w:ilvl w:val="3"/>
          <w:numId w:val="0"/>
        </w:numPr>
        <w:rPr>
          <w:rFonts w:hint="eastAsia"/>
          <w:lang w:val="en-US" w:eastAsia="zh-CN"/>
        </w:rPr>
      </w:pPr>
      <w:r>
        <w:rPr>
          <w:rFonts w:hint="eastAsia" w:ascii="黑体" w:hAnsi="Times New Roman" w:eastAsia="黑体" w:cs="Times New Roman"/>
          <w:sz w:val="21"/>
          <w:lang w:val="en-US" w:eastAsia="zh-CN" w:bidi="ar-SA"/>
        </w:rPr>
        <w:t>6.6.1</w:t>
      </w:r>
      <w:r>
        <w:rPr>
          <w:rFonts w:hint="eastAsia" w:ascii="黑体" w:eastAsia="黑体" w:cs="Times New Roman"/>
          <w:sz w:val="21"/>
          <w:lang w:val="en-US" w:eastAsia="zh-CN" w:bidi="ar-SA"/>
        </w:rPr>
        <w:t xml:space="preserve">  </w:t>
      </w:r>
      <w:r>
        <w:rPr>
          <w:rFonts w:hint="eastAsia"/>
          <w:lang w:val="en-US" w:eastAsia="zh-CN"/>
        </w:rPr>
        <w:t>环境责任指标（3分）：反映企业在环境保护和绿色运营方面的表现。</w:t>
      </w:r>
    </w:p>
    <w:p w14:paraId="72AEAD50">
      <w:pPr>
        <w:pStyle w:val="170"/>
        <w:numPr>
          <w:ilvl w:val="3"/>
          <w:numId w:val="0"/>
        </w:numPr>
        <w:rPr>
          <w:rFonts w:hint="eastAsia"/>
          <w:lang w:val="en-US" w:eastAsia="zh-CN"/>
        </w:rPr>
      </w:pPr>
      <w:r>
        <w:rPr>
          <w:rFonts w:hint="eastAsia" w:ascii="黑体" w:hAnsi="Times New Roman" w:eastAsia="黑体" w:cs="Times New Roman"/>
          <w:sz w:val="21"/>
          <w:lang w:val="en-US" w:eastAsia="zh-CN" w:bidi="ar-SA"/>
        </w:rPr>
        <w:t>6.6.2</w:t>
      </w:r>
      <w:r>
        <w:rPr>
          <w:rFonts w:hint="eastAsia" w:ascii="黑体" w:eastAsia="黑体" w:cs="Times New Roman"/>
          <w:sz w:val="21"/>
          <w:lang w:val="en-US" w:eastAsia="zh-CN" w:bidi="ar-SA"/>
        </w:rPr>
        <w:t xml:space="preserve">  </w:t>
      </w:r>
      <w:r>
        <w:rPr>
          <w:rFonts w:hint="eastAsia"/>
          <w:lang w:val="en-US" w:eastAsia="zh-CN"/>
        </w:rPr>
        <w:t>社会责任指标（4分）：反映企业履行社会责任的情况。</w:t>
      </w:r>
    </w:p>
    <w:p w14:paraId="75281D7E">
      <w:pPr>
        <w:pStyle w:val="170"/>
        <w:numPr>
          <w:ilvl w:val="3"/>
          <w:numId w:val="0"/>
        </w:numPr>
        <w:rPr>
          <w:rFonts w:hint="eastAsia"/>
          <w:lang w:val="en-US" w:eastAsia="zh-CN"/>
        </w:rPr>
      </w:pPr>
      <w:r>
        <w:rPr>
          <w:rFonts w:hint="eastAsia" w:ascii="黑体" w:hAnsi="Times New Roman" w:eastAsia="黑体" w:cs="Times New Roman"/>
          <w:sz w:val="21"/>
          <w:lang w:val="en-US" w:eastAsia="zh-CN" w:bidi="ar-SA"/>
        </w:rPr>
        <w:t>6.6.3</w:t>
      </w:r>
      <w:r>
        <w:rPr>
          <w:rFonts w:hint="eastAsia" w:ascii="黑体" w:eastAsia="黑体" w:cs="Times New Roman"/>
          <w:sz w:val="21"/>
          <w:lang w:val="en-US" w:eastAsia="zh-CN" w:bidi="ar-SA"/>
        </w:rPr>
        <w:t xml:space="preserve">  </w:t>
      </w:r>
      <w:r>
        <w:rPr>
          <w:rFonts w:hint="eastAsia"/>
          <w:lang w:val="en-US" w:eastAsia="zh-CN"/>
        </w:rPr>
        <w:t>公司治理指标（3分）：反映企业治理的规范性和透明度。</w:t>
      </w:r>
    </w:p>
    <w:p w14:paraId="4930FCDE">
      <w:pPr>
        <w:pStyle w:val="41"/>
        <w:numPr>
          <w:ilvl w:val="2"/>
          <w:numId w:val="0"/>
        </w:numPr>
        <w:spacing w:before="120" w:after="120"/>
        <w:rPr>
          <w:rFonts w:hint="eastAsia" w:cs="Times New Roman"/>
          <w:sz w:val="21"/>
          <w:lang w:val="en-US" w:eastAsia="zh-CN" w:bidi="ar-SA"/>
        </w:rPr>
      </w:pPr>
      <w:r>
        <w:rPr>
          <w:rFonts w:hint="eastAsia" w:cs="Times New Roman"/>
          <w:sz w:val="21"/>
          <w:lang w:val="en-US" w:eastAsia="zh-CN" w:bidi="ar-SA"/>
        </w:rPr>
        <w:t>6.7  创新发展指标（加分项，最高15分）</w:t>
      </w:r>
    </w:p>
    <w:p w14:paraId="21106AA9">
      <w:pPr>
        <w:pStyle w:val="170"/>
        <w:numPr>
          <w:ilvl w:val="3"/>
          <w:numId w:val="0"/>
        </w:numPr>
        <w:ind w:leftChars="0" w:firstLine="420" w:firstLineChars="200"/>
        <w:rPr>
          <w:rFonts w:hint="eastAsia"/>
          <w:lang w:val="en-US" w:eastAsia="zh-CN"/>
        </w:rPr>
      </w:pPr>
      <w:r>
        <w:rPr>
          <w:rFonts w:hint="eastAsia"/>
          <w:lang w:val="en-US" w:eastAsia="zh-CN"/>
        </w:rPr>
        <w:t>创新发展指标是从技术创新、模式创新、标准制定、理论研究及行业贡献等方面反映评价对象创新能力和发展潜力的加分指标。</w:t>
      </w:r>
    </w:p>
    <w:p w14:paraId="4ABF5838">
      <w:pPr>
        <w:pStyle w:val="170"/>
        <w:numPr>
          <w:ilvl w:val="3"/>
          <w:numId w:val="0"/>
        </w:numPr>
        <w:rPr>
          <w:rFonts w:hint="eastAsia"/>
          <w:lang w:val="en-US" w:eastAsia="zh-CN"/>
        </w:rPr>
      </w:pPr>
      <w:r>
        <w:rPr>
          <w:rFonts w:hint="eastAsia" w:ascii="黑体" w:hAnsi="Times New Roman" w:eastAsia="黑体" w:cs="Times New Roman"/>
          <w:sz w:val="21"/>
          <w:lang w:val="en-US" w:eastAsia="zh-CN" w:bidi="ar-SA"/>
        </w:rPr>
        <w:t>6.7.1</w:t>
      </w:r>
      <w:r>
        <w:rPr>
          <w:rFonts w:hint="eastAsia" w:ascii="黑体" w:eastAsia="黑体" w:cs="Times New Roman"/>
          <w:sz w:val="21"/>
          <w:lang w:val="en-US" w:eastAsia="zh-CN" w:bidi="ar-SA"/>
        </w:rPr>
        <w:t xml:space="preserve">  </w:t>
      </w:r>
      <w:r>
        <w:rPr>
          <w:rFonts w:hint="eastAsia"/>
          <w:lang w:val="en-US" w:eastAsia="zh-CN"/>
        </w:rPr>
        <w:t>技术创新指标（5分）：反映企业在技术应用方面的创新能力。</w:t>
      </w:r>
    </w:p>
    <w:p w14:paraId="4B5E85AB">
      <w:pPr>
        <w:pStyle w:val="170"/>
        <w:numPr>
          <w:ilvl w:val="3"/>
          <w:numId w:val="0"/>
        </w:numPr>
        <w:rPr>
          <w:rFonts w:hint="eastAsia"/>
          <w:lang w:val="en-US" w:eastAsia="zh-CN"/>
        </w:rPr>
      </w:pPr>
      <w:r>
        <w:rPr>
          <w:rFonts w:hint="eastAsia" w:ascii="黑体" w:hAnsi="Times New Roman" w:eastAsia="黑体" w:cs="Times New Roman"/>
          <w:sz w:val="21"/>
          <w:lang w:val="en-US" w:eastAsia="zh-CN" w:bidi="ar-SA"/>
        </w:rPr>
        <w:t>6.7.2</w:t>
      </w:r>
      <w:r>
        <w:rPr>
          <w:rFonts w:hint="eastAsia" w:ascii="黑体" w:eastAsia="黑体" w:cs="Times New Roman"/>
          <w:sz w:val="21"/>
          <w:lang w:val="en-US" w:eastAsia="zh-CN" w:bidi="ar-SA"/>
        </w:rPr>
        <w:t xml:space="preserve">  </w:t>
      </w:r>
      <w:r>
        <w:rPr>
          <w:rFonts w:hint="eastAsia"/>
          <w:lang w:val="en-US" w:eastAsia="zh-CN"/>
        </w:rPr>
        <w:t>标准与理论创新指标（5分）：反映企业在标准制定和理论研究方面的贡献。</w:t>
      </w:r>
    </w:p>
    <w:p w14:paraId="0D01FAF9">
      <w:pPr>
        <w:pStyle w:val="170"/>
        <w:numPr>
          <w:ilvl w:val="3"/>
          <w:numId w:val="0"/>
        </w:numPr>
        <w:rPr>
          <w:rFonts w:hint="eastAsia"/>
          <w:lang w:val="en-US" w:eastAsia="zh-CN"/>
        </w:rPr>
      </w:pPr>
      <w:r>
        <w:rPr>
          <w:rFonts w:hint="eastAsia" w:ascii="黑体" w:hAnsi="Times New Roman" w:eastAsia="黑体" w:cs="Times New Roman"/>
          <w:sz w:val="21"/>
          <w:lang w:val="en-US" w:eastAsia="zh-CN" w:bidi="ar-SA"/>
        </w:rPr>
        <w:t>6.7.3</w:t>
      </w:r>
      <w:r>
        <w:rPr>
          <w:rFonts w:hint="eastAsia" w:ascii="黑体" w:eastAsia="黑体" w:cs="Times New Roman"/>
          <w:sz w:val="21"/>
          <w:lang w:val="en-US" w:eastAsia="zh-CN" w:bidi="ar-SA"/>
        </w:rPr>
        <w:t xml:space="preserve">  </w:t>
      </w:r>
      <w:r>
        <w:rPr>
          <w:rFonts w:hint="eastAsia"/>
          <w:lang w:val="en-US" w:eastAsia="zh-CN"/>
        </w:rPr>
        <w:t>行业贡献指标（5分）：反映企业为行业发展做出的贡献。</w:t>
      </w:r>
    </w:p>
    <w:p w14:paraId="7B01B2D4">
      <w:pPr>
        <w:pStyle w:val="41"/>
        <w:numPr>
          <w:ilvl w:val="2"/>
          <w:numId w:val="0"/>
        </w:numPr>
        <w:spacing w:before="120" w:after="120"/>
        <w:rPr>
          <w:rFonts w:hint="eastAsia" w:cs="Times New Roman"/>
          <w:sz w:val="21"/>
          <w:lang w:val="en-US" w:eastAsia="zh-CN" w:bidi="ar-SA"/>
        </w:rPr>
      </w:pPr>
      <w:r>
        <w:rPr>
          <w:rFonts w:hint="eastAsia" w:cs="Times New Roman"/>
          <w:sz w:val="21"/>
          <w:lang w:val="en-US" w:eastAsia="zh-CN" w:bidi="ar-SA"/>
        </w:rPr>
        <w:t>6.8  一票否决指标</w:t>
      </w:r>
    </w:p>
    <w:p w14:paraId="0DD54C98">
      <w:pPr>
        <w:pStyle w:val="170"/>
        <w:numPr>
          <w:ilvl w:val="3"/>
          <w:numId w:val="0"/>
        </w:numPr>
        <w:ind w:leftChars="0" w:firstLine="420" w:firstLineChars="200"/>
        <w:rPr>
          <w:rFonts w:hint="eastAsia"/>
          <w:lang w:val="en-US" w:eastAsia="zh-CN"/>
        </w:rPr>
      </w:pPr>
      <w:r>
        <w:rPr>
          <w:rFonts w:hint="eastAsia"/>
          <w:lang w:val="en-US" w:eastAsia="zh-CN"/>
        </w:rPr>
        <w:t>参评企业存在以下情形之一的，应直接取消评价资格或评为最低等级：</w:t>
      </w:r>
    </w:p>
    <w:p w14:paraId="33AFD054">
      <w:pPr>
        <w:pStyle w:val="170"/>
        <w:numPr>
          <w:ilvl w:val="3"/>
          <w:numId w:val="0"/>
        </w:numPr>
        <w:ind w:leftChars="0" w:firstLine="420" w:firstLineChars="200"/>
        <w:rPr>
          <w:rFonts w:hint="eastAsia"/>
          <w:lang w:val="en-US" w:eastAsia="zh-CN"/>
        </w:rPr>
      </w:pPr>
      <w:r>
        <w:rPr>
          <w:rFonts w:hint="eastAsia"/>
          <w:lang w:val="en-US" w:eastAsia="zh-CN"/>
        </w:rPr>
        <w:t xml:space="preserve">a）近三年内发生较大及以上安全生产责任事故的；  </w:t>
      </w:r>
    </w:p>
    <w:p w14:paraId="1D161F4F">
      <w:pPr>
        <w:pStyle w:val="170"/>
        <w:numPr>
          <w:ilvl w:val="3"/>
          <w:numId w:val="0"/>
        </w:numPr>
        <w:ind w:leftChars="0" w:firstLine="420" w:firstLineChars="200"/>
        <w:rPr>
          <w:rFonts w:hint="eastAsia"/>
          <w:lang w:val="en-US" w:eastAsia="zh-CN"/>
        </w:rPr>
      </w:pPr>
      <w:r>
        <w:rPr>
          <w:rFonts w:hint="eastAsia"/>
          <w:lang w:val="en-US" w:eastAsia="zh-CN"/>
        </w:rPr>
        <w:t xml:space="preserve">b）企业及其法定代表人、主要负责人、实际控制人被列入严重失信主体名单的；  </w:t>
      </w:r>
    </w:p>
    <w:p w14:paraId="1A0BA09D">
      <w:pPr>
        <w:pStyle w:val="170"/>
        <w:numPr>
          <w:ilvl w:val="3"/>
          <w:numId w:val="0"/>
        </w:numPr>
        <w:ind w:leftChars="0" w:firstLine="420" w:firstLineChars="200"/>
        <w:rPr>
          <w:rFonts w:hint="eastAsia"/>
          <w:lang w:val="en-US" w:eastAsia="zh-CN"/>
        </w:rPr>
      </w:pPr>
      <w:r>
        <w:rPr>
          <w:rFonts w:hint="eastAsia"/>
          <w:lang w:val="en-US" w:eastAsia="zh-CN"/>
        </w:rPr>
        <w:t xml:space="preserve">c）申报材料弄虚作假被查实的；  </w:t>
      </w:r>
    </w:p>
    <w:p w14:paraId="1C291A54">
      <w:pPr>
        <w:pStyle w:val="170"/>
        <w:numPr>
          <w:ilvl w:val="3"/>
          <w:numId w:val="0"/>
        </w:numPr>
        <w:ind w:leftChars="0" w:firstLine="420" w:firstLineChars="200"/>
        <w:rPr>
          <w:rFonts w:hint="eastAsia"/>
          <w:lang w:val="en-US" w:eastAsia="zh-CN"/>
        </w:rPr>
      </w:pPr>
      <w:r>
        <w:rPr>
          <w:rFonts w:hint="eastAsia"/>
          <w:lang w:val="en-US" w:eastAsia="zh-CN"/>
        </w:rPr>
        <w:t xml:space="preserve">d）发生重大拍卖事故（如标的毁损灭失、资金挪用、卷款跑路等）或性质恶劣、社会影响重大的违法违规拍卖行为的；  </w:t>
      </w:r>
    </w:p>
    <w:p w14:paraId="091B6BB7">
      <w:pPr>
        <w:pStyle w:val="170"/>
        <w:numPr>
          <w:ilvl w:val="3"/>
          <w:numId w:val="0"/>
        </w:numPr>
        <w:ind w:leftChars="0" w:firstLine="420" w:firstLineChars="200"/>
        <w:rPr>
          <w:rFonts w:hint="eastAsia"/>
          <w:lang w:val="en-US" w:eastAsia="zh-CN"/>
        </w:rPr>
      </w:pPr>
      <w:r>
        <w:rPr>
          <w:rFonts w:hint="eastAsia"/>
          <w:lang w:val="en-US" w:eastAsia="zh-CN"/>
        </w:rPr>
        <w:t xml:space="preserve">e）被吊销拍卖经营批准证书或文物拍卖许可证的；  </w:t>
      </w:r>
    </w:p>
    <w:p w14:paraId="4F422FC2">
      <w:pPr>
        <w:pStyle w:val="170"/>
        <w:numPr>
          <w:ilvl w:val="3"/>
          <w:numId w:val="0"/>
        </w:numPr>
        <w:ind w:leftChars="0" w:firstLine="420" w:firstLineChars="200"/>
        <w:rPr>
          <w:rFonts w:hint="eastAsia"/>
          <w:lang w:val="en-US" w:eastAsia="zh-CN"/>
        </w:rPr>
      </w:pPr>
      <w:r>
        <w:rPr>
          <w:rFonts w:hint="eastAsia"/>
          <w:lang w:val="en-US" w:eastAsia="zh-CN"/>
        </w:rPr>
        <w:t xml:space="preserve">f）因拍卖活动被追究刑事责任的；  </w:t>
      </w:r>
    </w:p>
    <w:p w14:paraId="2A56E673">
      <w:pPr>
        <w:pStyle w:val="170"/>
        <w:numPr>
          <w:ilvl w:val="3"/>
          <w:numId w:val="0"/>
        </w:numPr>
        <w:ind w:leftChars="0" w:firstLine="420" w:firstLineChars="200"/>
        <w:rPr>
          <w:rFonts w:hint="eastAsia"/>
          <w:lang w:val="en-US" w:eastAsia="zh-CN"/>
        </w:rPr>
      </w:pPr>
      <w:r>
        <w:rPr>
          <w:rFonts w:hint="eastAsia"/>
          <w:lang w:val="en-US" w:eastAsia="zh-CN"/>
        </w:rPr>
        <w:t xml:space="preserve">g）在评价过程中贿赂评价人员或采取其他不正当手段影响评价结果的；  </w:t>
      </w:r>
    </w:p>
    <w:p w14:paraId="5984AE01">
      <w:pPr>
        <w:pStyle w:val="170"/>
        <w:numPr>
          <w:ilvl w:val="3"/>
          <w:numId w:val="0"/>
        </w:numPr>
        <w:ind w:leftChars="0" w:firstLine="420" w:firstLineChars="200"/>
        <w:rPr>
          <w:rFonts w:hint="eastAsia"/>
          <w:lang w:val="en-US" w:eastAsia="zh-CN"/>
        </w:rPr>
      </w:pPr>
      <w:r>
        <w:rPr>
          <w:rFonts w:hint="eastAsia"/>
          <w:lang w:val="en-US" w:eastAsia="zh-CN"/>
        </w:rPr>
        <w:t>h）存在非法集资、吸收存款或变相吸收存款行为的。</w:t>
      </w:r>
    </w:p>
    <w:p w14:paraId="7603DE43">
      <w:pPr>
        <w:pStyle w:val="41"/>
        <w:numPr>
          <w:ilvl w:val="2"/>
          <w:numId w:val="0"/>
        </w:numPr>
        <w:spacing w:before="120" w:after="120"/>
        <w:ind w:leftChars="0"/>
        <w:rPr>
          <w:rFonts w:hint="eastAsia"/>
          <w:lang w:val="en-US" w:eastAsia="zh-CN"/>
        </w:rPr>
      </w:pPr>
      <w:r>
        <w:rPr>
          <w:rFonts w:hint="eastAsia"/>
          <w:lang w:val="en-US" w:eastAsia="zh-CN"/>
        </w:rPr>
        <w:t>7  评价机构</w:t>
      </w:r>
    </w:p>
    <w:p w14:paraId="5909E395">
      <w:pPr>
        <w:pStyle w:val="41"/>
        <w:numPr>
          <w:ilvl w:val="2"/>
          <w:numId w:val="0"/>
        </w:numPr>
        <w:spacing w:before="120" w:after="120"/>
        <w:ind w:leftChars="0"/>
        <w:rPr>
          <w:rFonts w:hint="eastAsia"/>
          <w:lang w:val="en-US" w:eastAsia="zh-CN"/>
        </w:rPr>
      </w:pPr>
      <w:r>
        <w:rPr>
          <w:rFonts w:hint="eastAsia"/>
          <w:lang w:val="en-US" w:eastAsia="zh-CN"/>
        </w:rPr>
        <w:t xml:space="preserve">7.1  评价机构的组成 </w:t>
      </w:r>
    </w:p>
    <w:p w14:paraId="3DC965DB">
      <w:pPr>
        <w:pStyle w:val="35"/>
        <w:ind w:left="0" w:leftChars="0" w:firstLine="0" w:firstLineChars="0"/>
        <w:rPr>
          <w:rFonts w:hint="eastAsia"/>
          <w:lang w:val="en-US" w:eastAsia="zh-CN"/>
        </w:rPr>
      </w:pPr>
      <w:r>
        <w:rPr>
          <w:rFonts w:hint="eastAsia" w:ascii="黑体" w:eastAsia="黑体" w:cs="Times New Roman"/>
          <w:sz w:val="21"/>
          <w:lang w:val="en-US" w:eastAsia="zh-CN" w:bidi="ar-SA"/>
        </w:rPr>
        <w:t>7</w:t>
      </w:r>
      <w:r>
        <w:rPr>
          <w:rFonts w:hint="default" w:ascii="黑体" w:hAnsi="Times New Roman" w:eastAsia="黑体" w:cs="Times New Roman"/>
          <w:sz w:val="21"/>
          <w:lang w:val="en-US" w:eastAsia="zh-CN" w:bidi="ar-SA"/>
        </w:rPr>
        <w:t>.1.1</w:t>
      </w:r>
      <w:r>
        <w:rPr>
          <w:rFonts w:hint="eastAsia" w:ascii="黑体" w:eastAsia="黑体" w:cs="Times New Roman"/>
          <w:sz w:val="21"/>
          <w:lang w:val="en-US" w:eastAsia="zh-CN" w:bidi="ar-SA"/>
        </w:rPr>
        <w:t xml:space="preserve">  </w:t>
      </w:r>
      <w:r>
        <w:rPr>
          <w:rFonts w:hint="eastAsia"/>
          <w:lang w:val="en-US" w:eastAsia="zh-CN"/>
        </w:rPr>
        <w:t>由湖南省拍卖行业协会牵头，联合湖南省信用管理协会共同组织专家评审委员会。</w:t>
      </w:r>
    </w:p>
    <w:p w14:paraId="4C442E23">
      <w:pPr>
        <w:pStyle w:val="35"/>
        <w:ind w:left="0" w:leftChars="0" w:firstLine="0" w:firstLineChars="0"/>
        <w:rPr>
          <w:rFonts w:hint="eastAsia"/>
          <w:lang w:val="en-US" w:eastAsia="zh-CN"/>
        </w:rPr>
      </w:pPr>
      <w:r>
        <w:rPr>
          <w:rFonts w:hint="eastAsia" w:ascii="黑体" w:eastAsia="黑体" w:cs="Times New Roman"/>
          <w:sz w:val="21"/>
          <w:lang w:val="en-US" w:eastAsia="zh-CN" w:bidi="ar-SA"/>
        </w:rPr>
        <w:t>7</w:t>
      </w:r>
      <w:r>
        <w:rPr>
          <w:rFonts w:hint="default" w:ascii="黑体" w:hAnsi="Times New Roman" w:eastAsia="黑体" w:cs="Times New Roman"/>
          <w:sz w:val="21"/>
          <w:lang w:val="en-US" w:eastAsia="zh-CN" w:bidi="ar-SA"/>
        </w:rPr>
        <w:t>.1.</w:t>
      </w:r>
      <w:r>
        <w:rPr>
          <w:rFonts w:hint="eastAsia" w:ascii="黑体" w:eastAsia="黑体" w:cs="Times New Roman"/>
          <w:sz w:val="21"/>
          <w:lang w:val="en-US" w:eastAsia="zh-CN" w:bidi="ar-SA"/>
        </w:rPr>
        <w:t xml:space="preserve">2  </w:t>
      </w:r>
      <w:r>
        <w:rPr>
          <w:rFonts w:hint="eastAsia"/>
          <w:lang w:val="en-US" w:eastAsia="zh-CN"/>
        </w:rPr>
        <w:t>专家评审委员会应由以下人员组成：</w:t>
      </w:r>
    </w:p>
    <w:p w14:paraId="00672501">
      <w:pPr>
        <w:pStyle w:val="35"/>
        <w:ind w:left="0" w:leftChars="0" w:firstLine="420" w:firstLineChars="200"/>
        <w:rPr>
          <w:rFonts w:hint="eastAsia"/>
          <w:lang w:val="en-US" w:eastAsia="zh-CN"/>
        </w:rPr>
      </w:pPr>
      <w:r>
        <w:rPr>
          <w:rFonts w:hint="eastAsia"/>
          <w:lang w:val="en-US" w:eastAsia="zh-CN"/>
        </w:rPr>
        <w:t xml:space="preserve">a）拍卖行业专家，熟悉拍卖法律法规、业务流程及行业规范；  </w:t>
      </w:r>
    </w:p>
    <w:p w14:paraId="6BB4EA69">
      <w:pPr>
        <w:pStyle w:val="35"/>
        <w:ind w:left="0" w:leftChars="0" w:firstLine="420" w:firstLineChars="200"/>
        <w:rPr>
          <w:rFonts w:hint="eastAsia"/>
          <w:lang w:val="en-US" w:eastAsia="zh-CN"/>
        </w:rPr>
      </w:pPr>
      <w:r>
        <w:rPr>
          <w:rFonts w:hint="eastAsia"/>
          <w:lang w:val="en-US" w:eastAsia="zh-CN"/>
        </w:rPr>
        <w:t xml:space="preserve">b）信用管理专家，熟悉信用评价理论、方法及标准；  </w:t>
      </w:r>
    </w:p>
    <w:p w14:paraId="4DE636C5">
      <w:pPr>
        <w:pStyle w:val="35"/>
        <w:ind w:left="0" w:leftChars="0" w:firstLine="420" w:firstLineChars="200"/>
        <w:rPr>
          <w:rFonts w:hint="eastAsia"/>
          <w:lang w:val="en-US" w:eastAsia="zh-CN"/>
        </w:rPr>
      </w:pPr>
      <w:r>
        <w:rPr>
          <w:rFonts w:hint="eastAsia"/>
          <w:lang w:val="en-US" w:eastAsia="zh-CN"/>
        </w:rPr>
        <w:t xml:space="preserve">c）财务专家，具备财务审计或会计专业背景，熟悉企业财务分析；  </w:t>
      </w:r>
    </w:p>
    <w:p w14:paraId="375EED6F">
      <w:pPr>
        <w:pStyle w:val="35"/>
        <w:ind w:left="0" w:leftChars="0" w:firstLine="420" w:firstLineChars="200"/>
        <w:rPr>
          <w:rFonts w:hint="eastAsia"/>
          <w:lang w:val="en-US" w:eastAsia="zh-CN"/>
        </w:rPr>
      </w:pPr>
      <w:r>
        <w:rPr>
          <w:rFonts w:hint="eastAsia"/>
          <w:lang w:val="en-US" w:eastAsia="zh-CN"/>
        </w:rPr>
        <w:t>d）法律专家（必要时），熟悉民商事法律及拍卖相关法规。</w:t>
      </w:r>
    </w:p>
    <w:p w14:paraId="0E9ACA84">
      <w:pPr>
        <w:pStyle w:val="41"/>
        <w:numPr>
          <w:ilvl w:val="2"/>
          <w:numId w:val="0"/>
        </w:numPr>
        <w:spacing w:before="120" w:after="120"/>
        <w:ind w:leftChars="0"/>
        <w:rPr>
          <w:rFonts w:hint="eastAsia"/>
          <w:lang w:val="en-US" w:eastAsia="zh-CN"/>
        </w:rPr>
      </w:pPr>
      <w:r>
        <w:rPr>
          <w:rFonts w:hint="eastAsia"/>
          <w:lang w:val="en-US" w:eastAsia="zh-CN"/>
        </w:rPr>
        <w:t xml:space="preserve">7.2  评价机构的职责 </w:t>
      </w:r>
    </w:p>
    <w:p w14:paraId="42818B72">
      <w:pPr>
        <w:pStyle w:val="35"/>
        <w:ind w:left="0" w:leftChars="0" w:firstLine="0" w:firstLineChars="0"/>
        <w:rPr>
          <w:rFonts w:hint="default" w:ascii="黑体" w:hAnsi="Times New Roman" w:eastAsia="黑体" w:cs="Times New Roman"/>
          <w:sz w:val="21"/>
          <w:lang w:val="en-US" w:eastAsia="zh-CN" w:bidi="ar-SA"/>
        </w:rPr>
      </w:pPr>
      <w:r>
        <w:rPr>
          <w:rFonts w:hint="eastAsia" w:ascii="黑体" w:eastAsia="黑体" w:cs="Times New Roman"/>
          <w:sz w:val="21"/>
          <w:lang w:val="en-US" w:eastAsia="zh-CN" w:bidi="ar-SA"/>
        </w:rPr>
        <w:t>7</w:t>
      </w:r>
      <w:r>
        <w:rPr>
          <w:rFonts w:hint="default" w:ascii="黑体" w:hAnsi="Times New Roman" w:eastAsia="黑体" w:cs="Times New Roman"/>
          <w:sz w:val="21"/>
          <w:lang w:val="en-US" w:eastAsia="zh-CN" w:bidi="ar-SA"/>
        </w:rPr>
        <w:t>.</w:t>
      </w:r>
      <w:r>
        <w:rPr>
          <w:rFonts w:hint="eastAsia" w:ascii="黑体" w:eastAsia="黑体" w:cs="Times New Roman"/>
          <w:sz w:val="21"/>
          <w:lang w:val="en-US" w:eastAsia="zh-CN" w:bidi="ar-SA"/>
        </w:rPr>
        <w:t>2</w:t>
      </w:r>
      <w:r>
        <w:rPr>
          <w:rFonts w:hint="default" w:ascii="黑体" w:hAnsi="Times New Roman" w:eastAsia="黑体" w:cs="Times New Roman"/>
          <w:sz w:val="21"/>
          <w:lang w:val="en-US" w:eastAsia="zh-CN" w:bidi="ar-SA"/>
        </w:rPr>
        <w:t>.1</w:t>
      </w:r>
      <w:r>
        <w:rPr>
          <w:rFonts w:hint="eastAsia" w:ascii="黑体" w:eastAsia="黑体" w:cs="Times New Roman"/>
          <w:sz w:val="21"/>
          <w:lang w:val="en-US" w:eastAsia="zh-CN" w:bidi="ar-SA"/>
        </w:rPr>
        <w:t xml:space="preserve">  </w:t>
      </w:r>
      <w:r>
        <w:rPr>
          <w:rFonts w:hint="eastAsia"/>
          <w:lang w:val="en-US" w:eastAsia="zh-CN"/>
        </w:rPr>
        <w:t>负责受理企业信用评价申请，并对申报材料的完整性、真实性进行初步审核。</w:t>
      </w:r>
    </w:p>
    <w:p w14:paraId="2A23C15E">
      <w:pPr>
        <w:pStyle w:val="35"/>
        <w:ind w:left="0" w:leftChars="0" w:firstLine="0" w:firstLineChars="0"/>
        <w:rPr>
          <w:rFonts w:hint="default"/>
          <w:lang w:val="en-US" w:eastAsia="zh-CN"/>
        </w:rPr>
      </w:pPr>
      <w:r>
        <w:rPr>
          <w:rFonts w:hint="eastAsia" w:ascii="黑体" w:eastAsia="黑体" w:cs="Times New Roman"/>
          <w:sz w:val="21"/>
          <w:lang w:val="en-US" w:eastAsia="zh-CN" w:bidi="ar-SA"/>
        </w:rPr>
        <w:t>7</w:t>
      </w:r>
      <w:r>
        <w:rPr>
          <w:rFonts w:hint="default" w:ascii="黑体" w:hAnsi="Times New Roman" w:eastAsia="黑体" w:cs="Times New Roman"/>
          <w:sz w:val="21"/>
          <w:lang w:val="en-US" w:eastAsia="zh-CN" w:bidi="ar-SA"/>
        </w:rPr>
        <w:t>.</w:t>
      </w:r>
      <w:r>
        <w:rPr>
          <w:rFonts w:hint="eastAsia" w:ascii="黑体" w:eastAsia="黑体" w:cs="Times New Roman"/>
          <w:sz w:val="21"/>
          <w:lang w:val="en-US" w:eastAsia="zh-CN" w:bidi="ar-SA"/>
        </w:rPr>
        <w:t>2</w:t>
      </w:r>
      <w:r>
        <w:rPr>
          <w:rFonts w:hint="default" w:ascii="黑体" w:hAnsi="Times New Roman" w:eastAsia="黑体" w:cs="Times New Roman"/>
          <w:sz w:val="21"/>
          <w:lang w:val="en-US" w:eastAsia="zh-CN" w:bidi="ar-SA"/>
        </w:rPr>
        <w:t>.</w:t>
      </w:r>
      <w:r>
        <w:rPr>
          <w:rFonts w:hint="eastAsia" w:ascii="黑体" w:eastAsia="黑体" w:cs="Times New Roman"/>
          <w:sz w:val="21"/>
          <w:lang w:val="en-US" w:eastAsia="zh-CN" w:bidi="ar-SA"/>
        </w:rPr>
        <w:t xml:space="preserve">2  </w:t>
      </w:r>
      <w:r>
        <w:rPr>
          <w:rFonts w:hint="eastAsia"/>
          <w:lang w:val="en-US" w:eastAsia="zh-CN"/>
        </w:rPr>
        <w:t>组织评审专家，依据本文件规定的指标体系和评分细则，对参评企业进行综合评价。</w:t>
      </w:r>
    </w:p>
    <w:p w14:paraId="30BBA187">
      <w:pPr>
        <w:pStyle w:val="35"/>
        <w:ind w:left="0" w:leftChars="0" w:firstLine="0" w:firstLineChars="0"/>
        <w:rPr>
          <w:rFonts w:hint="eastAsia"/>
          <w:lang w:val="en-US" w:eastAsia="zh-CN"/>
        </w:rPr>
      </w:pPr>
      <w:r>
        <w:rPr>
          <w:rFonts w:hint="eastAsia" w:ascii="黑体" w:eastAsia="黑体" w:cs="Times New Roman"/>
          <w:sz w:val="21"/>
          <w:lang w:val="en-US" w:eastAsia="zh-CN" w:bidi="ar-SA"/>
        </w:rPr>
        <w:t>7</w:t>
      </w:r>
      <w:r>
        <w:rPr>
          <w:rFonts w:hint="default" w:ascii="黑体" w:hAnsi="Times New Roman" w:eastAsia="黑体" w:cs="Times New Roman"/>
          <w:sz w:val="21"/>
          <w:lang w:val="en-US" w:eastAsia="zh-CN" w:bidi="ar-SA"/>
        </w:rPr>
        <w:t>.</w:t>
      </w:r>
      <w:r>
        <w:rPr>
          <w:rFonts w:hint="eastAsia" w:ascii="黑体" w:eastAsia="黑体" w:cs="Times New Roman"/>
          <w:sz w:val="21"/>
          <w:lang w:val="en-US" w:eastAsia="zh-CN" w:bidi="ar-SA"/>
        </w:rPr>
        <w:t>2</w:t>
      </w:r>
      <w:r>
        <w:rPr>
          <w:rFonts w:hint="default" w:ascii="黑体" w:hAnsi="Times New Roman" w:eastAsia="黑体" w:cs="Times New Roman"/>
          <w:sz w:val="21"/>
          <w:lang w:val="en-US" w:eastAsia="zh-CN" w:bidi="ar-SA"/>
        </w:rPr>
        <w:t>.</w:t>
      </w:r>
      <w:r>
        <w:rPr>
          <w:rFonts w:hint="eastAsia" w:ascii="黑体" w:eastAsia="黑体" w:cs="Times New Roman"/>
          <w:sz w:val="21"/>
          <w:lang w:val="en-US" w:eastAsia="zh-CN" w:bidi="ar-SA"/>
        </w:rPr>
        <w:t xml:space="preserve">3  </w:t>
      </w:r>
      <w:r>
        <w:rPr>
          <w:rFonts w:hint="eastAsia"/>
          <w:lang w:val="en-US" w:eastAsia="zh-CN"/>
        </w:rPr>
        <w:t>负责评价结果的公示、异议受理与处理、证书颁发及档案管理。</w:t>
      </w:r>
    </w:p>
    <w:p w14:paraId="71ECAE39">
      <w:pPr>
        <w:pStyle w:val="35"/>
        <w:ind w:left="0" w:leftChars="0" w:firstLine="0" w:firstLineChars="0"/>
        <w:rPr>
          <w:rFonts w:hint="eastAsia"/>
          <w:lang w:val="en-US" w:eastAsia="zh-CN"/>
        </w:rPr>
      </w:pPr>
      <w:r>
        <w:rPr>
          <w:rFonts w:hint="eastAsia" w:ascii="黑体" w:eastAsia="黑体" w:cs="Times New Roman"/>
          <w:sz w:val="21"/>
          <w:lang w:val="en-US" w:eastAsia="zh-CN" w:bidi="ar-SA"/>
        </w:rPr>
        <w:t>7</w:t>
      </w:r>
      <w:r>
        <w:rPr>
          <w:rFonts w:hint="default" w:ascii="黑体" w:hAnsi="Times New Roman" w:eastAsia="黑体" w:cs="Times New Roman"/>
          <w:sz w:val="21"/>
          <w:lang w:val="en-US" w:eastAsia="zh-CN" w:bidi="ar-SA"/>
        </w:rPr>
        <w:t>.</w:t>
      </w:r>
      <w:r>
        <w:rPr>
          <w:rFonts w:hint="eastAsia" w:ascii="黑体" w:eastAsia="黑体" w:cs="Times New Roman"/>
          <w:sz w:val="21"/>
          <w:lang w:val="en-US" w:eastAsia="zh-CN" w:bidi="ar-SA"/>
        </w:rPr>
        <w:t>2</w:t>
      </w:r>
      <w:r>
        <w:rPr>
          <w:rFonts w:hint="default" w:ascii="黑体" w:hAnsi="Times New Roman" w:eastAsia="黑体" w:cs="Times New Roman"/>
          <w:sz w:val="21"/>
          <w:lang w:val="en-US" w:eastAsia="zh-CN" w:bidi="ar-SA"/>
        </w:rPr>
        <w:t>.</w:t>
      </w:r>
      <w:r>
        <w:rPr>
          <w:rFonts w:hint="eastAsia" w:ascii="黑体" w:eastAsia="黑体" w:cs="Times New Roman"/>
          <w:sz w:val="21"/>
          <w:lang w:val="en-US" w:eastAsia="zh-CN" w:bidi="ar-SA"/>
        </w:rPr>
        <w:t xml:space="preserve">4  </w:t>
      </w:r>
      <w:r>
        <w:rPr>
          <w:rFonts w:hint="eastAsia"/>
          <w:lang w:val="en-US" w:eastAsia="zh-CN"/>
        </w:rPr>
        <w:t>对已获评企业进行信用等级的动态管理与复核。</w:t>
      </w:r>
    </w:p>
    <w:p w14:paraId="27342F77">
      <w:pPr>
        <w:pStyle w:val="41"/>
        <w:numPr>
          <w:ilvl w:val="2"/>
          <w:numId w:val="0"/>
        </w:numPr>
        <w:spacing w:before="120" w:after="120"/>
        <w:ind w:leftChars="0"/>
        <w:rPr>
          <w:rFonts w:hint="eastAsia"/>
          <w:lang w:val="en-US" w:eastAsia="zh-CN"/>
        </w:rPr>
      </w:pPr>
      <w:r>
        <w:rPr>
          <w:rFonts w:hint="eastAsia"/>
          <w:lang w:val="en-US" w:eastAsia="zh-CN"/>
        </w:rPr>
        <w:t xml:space="preserve">7.3  评价人员的回避与保密 </w:t>
      </w:r>
    </w:p>
    <w:p w14:paraId="444FB2F2">
      <w:pPr>
        <w:pStyle w:val="35"/>
        <w:ind w:left="0" w:leftChars="0" w:firstLine="0" w:firstLineChars="0"/>
        <w:rPr>
          <w:rFonts w:hint="default" w:ascii="黑体" w:hAnsi="Times New Roman" w:eastAsia="黑体" w:cs="Times New Roman"/>
          <w:sz w:val="21"/>
          <w:lang w:val="en-US" w:eastAsia="zh-CN" w:bidi="ar-SA"/>
        </w:rPr>
      </w:pPr>
      <w:r>
        <w:rPr>
          <w:rFonts w:hint="eastAsia" w:ascii="黑体" w:eastAsia="黑体" w:cs="Times New Roman"/>
          <w:sz w:val="21"/>
          <w:lang w:val="en-US" w:eastAsia="zh-CN" w:bidi="ar-SA"/>
        </w:rPr>
        <w:t>7</w:t>
      </w:r>
      <w:r>
        <w:rPr>
          <w:rFonts w:hint="default" w:ascii="黑体" w:hAnsi="Times New Roman" w:eastAsia="黑体" w:cs="Times New Roman"/>
          <w:sz w:val="21"/>
          <w:lang w:val="en-US" w:eastAsia="zh-CN" w:bidi="ar-SA"/>
        </w:rPr>
        <w:t>.</w:t>
      </w:r>
      <w:r>
        <w:rPr>
          <w:rFonts w:hint="eastAsia" w:ascii="黑体" w:eastAsia="黑体" w:cs="Times New Roman"/>
          <w:sz w:val="21"/>
          <w:lang w:val="en-US" w:eastAsia="zh-CN" w:bidi="ar-SA"/>
        </w:rPr>
        <w:t>3</w:t>
      </w:r>
      <w:r>
        <w:rPr>
          <w:rFonts w:hint="default" w:ascii="黑体" w:hAnsi="Times New Roman" w:eastAsia="黑体" w:cs="Times New Roman"/>
          <w:sz w:val="21"/>
          <w:lang w:val="en-US" w:eastAsia="zh-CN" w:bidi="ar-SA"/>
        </w:rPr>
        <w:t>.1</w:t>
      </w:r>
      <w:r>
        <w:rPr>
          <w:rFonts w:hint="eastAsia" w:ascii="黑体" w:eastAsia="黑体" w:cs="Times New Roman"/>
          <w:sz w:val="21"/>
          <w:lang w:val="en-US" w:eastAsia="zh-CN" w:bidi="ar-SA"/>
        </w:rPr>
        <w:t xml:space="preserve">  </w:t>
      </w:r>
      <w:r>
        <w:rPr>
          <w:rFonts w:hint="eastAsia"/>
          <w:lang w:val="en-US" w:eastAsia="zh-CN"/>
        </w:rPr>
        <w:t>评价人员与参评企业存在利害关系或其他可能影响公正评价情形的，应主动回避。</w:t>
      </w:r>
    </w:p>
    <w:p w14:paraId="21083AC0">
      <w:pPr>
        <w:pStyle w:val="35"/>
        <w:ind w:left="0" w:leftChars="0" w:firstLine="0" w:firstLineChars="0"/>
        <w:rPr>
          <w:rFonts w:hint="eastAsia"/>
          <w:lang w:val="en-US" w:eastAsia="zh-CN"/>
        </w:rPr>
      </w:pPr>
      <w:r>
        <w:rPr>
          <w:rFonts w:hint="eastAsia" w:ascii="黑体" w:eastAsia="黑体" w:cs="Times New Roman"/>
          <w:sz w:val="21"/>
          <w:lang w:val="en-US" w:eastAsia="zh-CN" w:bidi="ar-SA"/>
        </w:rPr>
        <w:t>7</w:t>
      </w:r>
      <w:r>
        <w:rPr>
          <w:rFonts w:hint="default" w:ascii="黑体" w:hAnsi="Times New Roman" w:eastAsia="黑体" w:cs="Times New Roman"/>
          <w:sz w:val="21"/>
          <w:lang w:val="en-US" w:eastAsia="zh-CN" w:bidi="ar-SA"/>
        </w:rPr>
        <w:t>.</w:t>
      </w:r>
      <w:r>
        <w:rPr>
          <w:rFonts w:hint="eastAsia" w:ascii="黑体" w:eastAsia="黑体" w:cs="Times New Roman"/>
          <w:sz w:val="21"/>
          <w:lang w:val="en-US" w:eastAsia="zh-CN" w:bidi="ar-SA"/>
        </w:rPr>
        <w:t>3</w:t>
      </w:r>
      <w:r>
        <w:rPr>
          <w:rFonts w:hint="default" w:ascii="黑体" w:hAnsi="Times New Roman" w:eastAsia="黑体" w:cs="Times New Roman"/>
          <w:sz w:val="21"/>
          <w:lang w:val="en-US" w:eastAsia="zh-CN" w:bidi="ar-SA"/>
        </w:rPr>
        <w:t>.</w:t>
      </w:r>
      <w:r>
        <w:rPr>
          <w:rFonts w:hint="eastAsia" w:ascii="黑体" w:eastAsia="黑体" w:cs="Times New Roman"/>
          <w:sz w:val="21"/>
          <w:lang w:val="en-US" w:eastAsia="zh-CN" w:bidi="ar-SA"/>
        </w:rPr>
        <w:t xml:space="preserve">2  </w:t>
      </w:r>
      <w:r>
        <w:rPr>
          <w:rFonts w:hint="default"/>
          <w:lang w:val="en-US" w:eastAsia="zh-CN"/>
        </w:rPr>
        <w:t>评价人员应对评价过程中获取的企业信息承担保密义务，未经授权不得泄露或用于评价以外的目的</w:t>
      </w:r>
      <w:r>
        <w:rPr>
          <w:rFonts w:hint="eastAsia"/>
          <w:lang w:val="en-US" w:eastAsia="zh-CN"/>
        </w:rPr>
        <w:t>。</w:t>
      </w:r>
    </w:p>
    <w:p w14:paraId="635FCA37">
      <w:pPr>
        <w:pStyle w:val="41"/>
        <w:numPr>
          <w:ilvl w:val="2"/>
          <w:numId w:val="0"/>
        </w:numPr>
        <w:bidi w:val="0"/>
        <w:ind w:leftChars="0"/>
        <w:rPr>
          <w:rFonts w:hint="default"/>
          <w:lang w:val="en-US" w:eastAsia="zh-CN"/>
        </w:rPr>
      </w:pPr>
      <w:r>
        <w:rPr>
          <w:rFonts w:hint="eastAsia"/>
          <w:lang w:val="en-US" w:eastAsia="zh-CN"/>
        </w:rPr>
        <w:t>8.信用等级划分</w:t>
      </w:r>
    </w:p>
    <w:p w14:paraId="6EF41D97">
      <w:pPr>
        <w:pStyle w:val="42"/>
        <w:numPr>
          <w:ilvl w:val="1"/>
          <w:numId w:val="0"/>
        </w:numPr>
        <w:spacing w:before="240" w:after="240"/>
        <w:ind w:leftChars="0"/>
        <w:rPr>
          <w:rFonts w:hint="eastAsia"/>
          <w:lang w:val="en-US" w:eastAsia="zh-CN"/>
        </w:rPr>
      </w:pPr>
      <w:bookmarkStart w:id="68" w:name="_Toc22271"/>
      <w:bookmarkStart w:id="69" w:name="_Toc25437"/>
      <w:r>
        <w:rPr>
          <w:rFonts w:hint="eastAsia"/>
          <w:lang w:val="en-US" w:eastAsia="zh-CN"/>
        </w:rPr>
        <w:t>8.1  等级设置</w:t>
      </w:r>
    </w:p>
    <w:p w14:paraId="529E47D4">
      <w:pPr>
        <w:pStyle w:val="170"/>
        <w:numPr>
          <w:ilvl w:val="3"/>
          <w:numId w:val="0"/>
        </w:numPr>
        <w:ind w:leftChars="0" w:firstLine="420" w:firstLineChars="200"/>
        <w:rPr>
          <w:rFonts w:hint="eastAsia"/>
        </w:rPr>
      </w:pPr>
      <w:r>
        <w:rPr>
          <w:rFonts w:hint="eastAsia"/>
          <w:lang w:eastAsia="zh-CN"/>
        </w:rPr>
        <w:t>拍卖</w:t>
      </w:r>
      <w:r>
        <w:rPr>
          <w:rFonts w:hint="eastAsia"/>
        </w:rPr>
        <w:t>企业信用等级划分应符合GB/T 22116 的规定。信用等级划分采用“A、B、C、D”四个等级和AAA、AA、A、B、C、D</w:t>
      </w:r>
      <w:r>
        <w:rPr>
          <w:rFonts w:hint="eastAsia"/>
          <w:lang w:val="en-US" w:eastAsia="zh-CN"/>
        </w:rPr>
        <w:t>六</w:t>
      </w:r>
      <w:r>
        <w:rPr>
          <w:rFonts w:hint="eastAsia"/>
        </w:rPr>
        <w:t>个级别。各信用等级及释义应符合表1的规定。</w:t>
      </w:r>
    </w:p>
    <w:p w14:paraId="0167CE98">
      <w:pPr>
        <w:pStyle w:val="170"/>
        <w:numPr>
          <w:ilvl w:val="3"/>
          <w:numId w:val="0"/>
        </w:numPr>
        <w:ind w:leftChars="0" w:firstLine="420" w:firstLineChars="200"/>
        <w:jc w:val="center"/>
        <w:rPr>
          <w:rFonts w:hint="default" w:ascii="黑体" w:hAnsi="Times New Roman" w:eastAsia="黑体" w:cs="Times New Roman"/>
          <w:sz w:val="21"/>
          <w:lang w:val="en-US" w:eastAsia="zh-CN" w:bidi="ar-SA"/>
        </w:rPr>
      </w:pPr>
      <w:r>
        <w:rPr>
          <w:rFonts w:hint="eastAsia" w:ascii="黑体" w:hAnsi="Times New Roman" w:eastAsia="黑体" w:cs="Times New Roman"/>
          <w:sz w:val="21"/>
          <w:lang w:val="en-US" w:eastAsia="zh-CN" w:bidi="ar-SA"/>
        </w:rPr>
        <w:t>表1</w:t>
      </w:r>
      <w:r>
        <w:rPr>
          <w:rFonts w:hint="eastAsia" w:ascii="黑体" w:eastAsia="黑体" w:cs="Times New Roman"/>
          <w:sz w:val="21"/>
          <w:lang w:val="en-US" w:eastAsia="zh-CN" w:bidi="ar-SA"/>
        </w:rPr>
        <w:t xml:space="preserve"> 拍卖企业信用等级划分</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8"/>
        <w:gridCol w:w="2652"/>
        <w:gridCol w:w="1252"/>
        <w:gridCol w:w="1700"/>
        <w:gridCol w:w="1888"/>
      </w:tblGrid>
      <w:tr w14:paraId="1EFAA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988" w:type="dxa"/>
            <w:vAlign w:val="center"/>
          </w:tcPr>
          <w:p w14:paraId="6E34FB5F">
            <w:pPr>
              <w:ind w:firstLine="90" w:firstLineChars="50"/>
              <w:jc w:val="center"/>
              <w:rPr>
                <w:rFonts w:ascii="宋体" w:cs="Times New Roman"/>
                <w:b/>
                <w:bCs/>
                <w:sz w:val="18"/>
                <w:szCs w:val="18"/>
              </w:rPr>
            </w:pPr>
            <w:r>
              <w:rPr>
                <w:rFonts w:hint="eastAsia" w:ascii="宋体" w:hAnsi="宋体" w:cs="宋体"/>
                <w:b/>
                <w:bCs/>
                <w:kern w:val="0"/>
                <w:sz w:val="18"/>
                <w:szCs w:val="18"/>
              </w:rPr>
              <w:t>级</w:t>
            </w:r>
            <w:r>
              <w:rPr>
                <w:rFonts w:ascii="宋体" w:hAnsi="宋体" w:cs="宋体"/>
                <w:b/>
                <w:bCs/>
                <w:kern w:val="0"/>
                <w:sz w:val="18"/>
                <w:szCs w:val="18"/>
              </w:rPr>
              <w:t xml:space="preserve">   </w:t>
            </w:r>
            <w:r>
              <w:rPr>
                <w:rFonts w:hint="eastAsia" w:ascii="宋体" w:hAnsi="宋体" w:cs="宋体"/>
                <w:b/>
                <w:bCs/>
                <w:kern w:val="0"/>
                <w:sz w:val="18"/>
                <w:szCs w:val="18"/>
              </w:rPr>
              <w:t>别</w:t>
            </w:r>
          </w:p>
        </w:tc>
        <w:tc>
          <w:tcPr>
            <w:tcW w:w="2652" w:type="dxa"/>
            <w:vAlign w:val="center"/>
          </w:tcPr>
          <w:p w14:paraId="590832D4">
            <w:pPr>
              <w:ind w:firstLine="271" w:firstLineChars="150"/>
              <w:jc w:val="center"/>
              <w:rPr>
                <w:rFonts w:ascii="宋体" w:cs="Times New Roman"/>
                <w:b/>
                <w:bCs/>
                <w:sz w:val="18"/>
                <w:szCs w:val="18"/>
              </w:rPr>
            </w:pPr>
            <w:r>
              <w:rPr>
                <w:rFonts w:hint="eastAsia" w:ascii="宋体" w:hAnsi="宋体" w:cs="宋体"/>
                <w:b/>
                <w:bCs/>
                <w:kern w:val="0"/>
                <w:sz w:val="18"/>
                <w:szCs w:val="18"/>
              </w:rPr>
              <w:t>计分范围</w:t>
            </w:r>
          </w:p>
        </w:tc>
        <w:tc>
          <w:tcPr>
            <w:tcW w:w="1252" w:type="dxa"/>
            <w:vAlign w:val="center"/>
          </w:tcPr>
          <w:p w14:paraId="2DB4AFFB">
            <w:pPr>
              <w:ind w:firstLine="90" w:firstLineChars="50"/>
              <w:jc w:val="center"/>
              <w:rPr>
                <w:rFonts w:ascii="宋体" w:cs="Times New Roman"/>
                <w:b/>
                <w:bCs/>
                <w:sz w:val="18"/>
                <w:szCs w:val="18"/>
              </w:rPr>
            </w:pPr>
            <w:r>
              <w:rPr>
                <w:rFonts w:hint="eastAsia" w:ascii="宋体" w:hAnsi="宋体" w:cs="宋体"/>
                <w:b/>
                <w:bCs/>
                <w:kern w:val="0"/>
                <w:sz w:val="18"/>
                <w:szCs w:val="18"/>
              </w:rPr>
              <w:t>信用记录</w:t>
            </w:r>
          </w:p>
        </w:tc>
        <w:tc>
          <w:tcPr>
            <w:tcW w:w="1700" w:type="dxa"/>
            <w:vAlign w:val="center"/>
          </w:tcPr>
          <w:p w14:paraId="6F241DEE">
            <w:pPr>
              <w:ind w:left="12"/>
              <w:jc w:val="center"/>
              <w:rPr>
                <w:rFonts w:ascii="宋体" w:cs="Times New Roman"/>
                <w:b/>
                <w:bCs/>
                <w:sz w:val="18"/>
                <w:szCs w:val="18"/>
              </w:rPr>
            </w:pPr>
            <w:r>
              <w:rPr>
                <w:rFonts w:hint="eastAsia" w:ascii="宋体" w:hAnsi="宋体" w:cs="宋体"/>
                <w:b/>
                <w:bCs/>
                <w:kern w:val="0"/>
                <w:sz w:val="18"/>
                <w:szCs w:val="18"/>
              </w:rPr>
              <w:t>信用能力</w:t>
            </w:r>
          </w:p>
        </w:tc>
        <w:tc>
          <w:tcPr>
            <w:tcW w:w="1888" w:type="dxa"/>
            <w:vAlign w:val="center"/>
          </w:tcPr>
          <w:p w14:paraId="24B45BCE">
            <w:pPr>
              <w:jc w:val="center"/>
              <w:rPr>
                <w:rFonts w:ascii="宋体" w:cs="Times New Roman"/>
                <w:b/>
                <w:bCs/>
                <w:sz w:val="18"/>
                <w:szCs w:val="18"/>
              </w:rPr>
            </w:pPr>
            <w:r>
              <w:rPr>
                <w:rFonts w:hint="eastAsia" w:ascii="宋体" w:hAnsi="宋体" w:cs="宋体"/>
                <w:b/>
                <w:bCs/>
                <w:kern w:val="0"/>
                <w:sz w:val="18"/>
                <w:szCs w:val="18"/>
              </w:rPr>
              <w:t>风险程度</w:t>
            </w:r>
          </w:p>
        </w:tc>
      </w:tr>
      <w:tr w14:paraId="5652C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988" w:type="dxa"/>
            <w:vAlign w:val="center"/>
          </w:tcPr>
          <w:p w14:paraId="4601D505">
            <w:pPr>
              <w:jc w:val="center"/>
              <w:rPr>
                <w:rFonts w:ascii="宋体" w:cs="Times New Roman"/>
                <w:sz w:val="18"/>
                <w:szCs w:val="18"/>
              </w:rPr>
            </w:pPr>
            <w:r>
              <w:rPr>
                <w:rFonts w:ascii="宋体" w:hAnsi="宋体" w:cs="宋体"/>
                <w:kern w:val="0"/>
                <w:sz w:val="18"/>
                <w:szCs w:val="18"/>
              </w:rPr>
              <w:t>AAA</w:t>
            </w:r>
          </w:p>
        </w:tc>
        <w:tc>
          <w:tcPr>
            <w:tcW w:w="2652" w:type="dxa"/>
            <w:vAlign w:val="center"/>
          </w:tcPr>
          <w:p w14:paraId="217EE054">
            <w:pPr>
              <w:jc w:val="center"/>
              <w:rPr>
                <w:rFonts w:ascii="宋体" w:cs="Times New Roman"/>
                <w:sz w:val="18"/>
                <w:szCs w:val="18"/>
              </w:rPr>
            </w:pPr>
            <w:r>
              <w:rPr>
                <w:rFonts w:hint="eastAsia" w:ascii="宋体" w:hAnsi="宋体" w:cs="宋体"/>
                <w:color w:val="000000"/>
                <w:sz w:val="18"/>
                <w:szCs w:val="18"/>
              </w:rPr>
              <w:t>≥</w:t>
            </w:r>
            <w:r>
              <w:rPr>
                <w:rFonts w:ascii="宋体" w:hAnsi="宋体" w:cs="宋体"/>
                <w:kern w:val="0"/>
                <w:sz w:val="18"/>
                <w:szCs w:val="18"/>
              </w:rPr>
              <w:t>90</w:t>
            </w:r>
            <w:r>
              <w:rPr>
                <w:rFonts w:hint="eastAsia" w:ascii="宋体" w:hAnsi="宋体" w:cs="宋体"/>
                <w:kern w:val="0"/>
                <w:sz w:val="18"/>
                <w:szCs w:val="18"/>
              </w:rPr>
              <w:t>分</w:t>
            </w:r>
          </w:p>
        </w:tc>
        <w:tc>
          <w:tcPr>
            <w:tcW w:w="1252" w:type="dxa"/>
            <w:vAlign w:val="center"/>
          </w:tcPr>
          <w:p w14:paraId="5952A8C7">
            <w:pPr>
              <w:jc w:val="center"/>
              <w:rPr>
                <w:rFonts w:ascii="宋体" w:cs="Times New Roman"/>
                <w:sz w:val="18"/>
                <w:szCs w:val="18"/>
              </w:rPr>
            </w:pPr>
            <w:r>
              <w:rPr>
                <w:rFonts w:hint="eastAsia" w:ascii="宋体" w:hAnsi="宋体" w:cs="宋体"/>
                <w:color w:val="222222"/>
                <w:sz w:val="18"/>
                <w:szCs w:val="18"/>
              </w:rPr>
              <w:t>信用极好</w:t>
            </w:r>
          </w:p>
        </w:tc>
        <w:tc>
          <w:tcPr>
            <w:tcW w:w="1700" w:type="dxa"/>
            <w:vAlign w:val="center"/>
          </w:tcPr>
          <w:p w14:paraId="5762644C">
            <w:pPr>
              <w:jc w:val="center"/>
              <w:rPr>
                <w:rFonts w:ascii="宋体" w:cs="Times New Roman"/>
                <w:sz w:val="18"/>
                <w:szCs w:val="18"/>
              </w:rPr>
            </w:pPr>
            <w:r>
              <w:rPr>
                <w:rFonts w:hint="eastAsia" w:ascii="宋体" w:hAnsi="宋体" w:cs="宋体"/>
                <w:color w:val="222222"/>
                <w:sz w:val="18"/>
                <w:szCs w:val="18"/>
                <w:lang w:val="en-US" w:eastAsia="zh-CN"/>
              </w:rPr>
              <w:t>履约</w:t>
            </w:r>
            <w:r>
              <w:rPr>
                <w:rFonts w:hint="eastAsia" w:ascii="宋体" w:hAnsi="宋体" w:cs="宋体"/>
                <w:color w:val="222222"/>
                <w:sz w:val="18"/>
                <w:szCs w:val="18"/>
              </w:rPr>
              <w:t>能力极强</w:t>
            </w:r>
          </w:p>
        </w:tc>
        <w:tc>
          <w:tcPr>
            <w:tcW w:w="1888" w:type="dxa"/>
            <w:vAlign w:val="center"/>
          </w:tcPr>
          <w:p w14:paraId="6B82A27D">
            <w:pPr>
              <w:jc w:val="center"/>
              <w:rPr>
                <w:rFonts w:ascii="宋体" w:cs="Times New Roman"/>
                <w:sz w:val="18"/>
                <w:szCs w:val="18"/>
              </w:rPr>
            </w:pPr>
            <w:r>
              <w:rPr>
                <w:rFonts w:hint="eastAsia" w:ascii="宋体" w:hAnsi="宋体" w:cs="宋体"/>
                <w:color w:val="222222"/>
                <w:sz w:val="18"/>
                <w:szCs w:val="18"/>
              </w:rPr>
              <w:t>违约风险极低</w:t>
            </w:r>
          </w:p>
        </w:tc>
      </w:tr>
      <w:tr w14:paraId="7B27C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988" w:type="dxa"/>
            <w:vAlign w:val="center"/>
          </w:tcPr>
          <w:p w14:paraId="063F40B4">
            <w:pPr>
              <w:jc w:val="center"/>
              <w:rPr>
                <w:rFonts w:ascii="宋体" w:cs="Times New Roman"/>
                <w:sz w:val="18"/>
                <w:szCs w:val="18"/>
              </w:rPr>
            </w:pPr>
            <w:r>
              <w:rPr>
                <w:rFonts w:ascii="宋体" w:hAnsi="宋体" w:cs="宋体"/>
                <w:kern w:val="0"/>
                <w:sz w:val="18"/>
                <w:szCs w:val="18"/>
              </w:rPr>
              <w:t>AA</w:t>
            </w:r>
          </w:p>
        </w:tc>
        <w:tc>
          <w:tcPr>
            <w:tcW w:w="2652" w:type="dxa"/>
            <w:vAlign w:val="center"/>
          </w:tcPr>
          <w:p w14:paraId="3F2DDD2E">
            <w:pPr>
              <w:jc w:val="center"/>
              <w:rPr>
                <w:rFonts w:ascii="宋体" w:cs="Times New Roman"/>
                <w:sz w:val="18"/>
                <w:szCs w:val="18"/>
              </w:rPr>
            </w:pPr>
            <w:r>
              <w:rPr>
                <w:rFonts w:ascii="宋体" w:hAnsi="宋体" w:cs="宋体"/>
                <w:sz w:val="18"/>
                <w:szCs w:val="18"/>
              </w:rPr>
              <w:t>80</w:t>
            </w:r>
            <w:r>
              <w:rPr>
                <w:rFonts w:hint="eastAsia" w:ascii="宋体" w:hAnsi="宋体" w:cs="宋体"/>
                <w:sz w:val="18"/>
                <w:szCs w:val="18"/>
              </w:rPr>
              <w:t>分～</w:t>
            </w:r>
            <w:r>
              <w:rPr>
                <w:rFonts w:ascii="宋体" w:hAnsi="宋体" w:cs="宋体"/>
                <w:sz w:val="18"/>
                <w:szCs w:val="18"/>
              </w:rPr>
              <w:t>89</w:t>
            </w:r>
            <w:r>
              <w:rPr>
                <w:rFonts w:hint="eastAsia" w:ascii="宋体" w:hAnsi="宋体" w:cs="宋体"/>
                <w:sz w:val="18"/>
                <w:szCs w:val="18"/>
              </w:rPr>
              <w:t>分</w:t>
            </w:r>
          </w:p>
        </w:tc>
        <w:tc>
          <w:tcPr>
            <w:tcW w:w="1252" w:type="dxa"/>
            <w:vAlign w:val="center"/>
          </w:tcPr>
          <w:p w14:paraId="7D093DF3">
            <w:pPr>
              <w:jc w:val="center"/>
              <w:rPr>
                <w:rFonts w:ascii="宋体" w:cs="Times New Roman"/>
                <w:sz w:val="18"/>
                <w:szCs w:val="18"/>
              </w:rPr>
            </w:pPr>
            <w:r>
              <w:rPr>
                <w:rFonts w:hint="eastAsia" w:ascii="宋体" w:hAnsi="宋体" w:cs="宋体"/>
                <w:color w:val="222222"/>
                <w:sz w:val="18"/>
                <w:szCs w:val="18"/>
              </w:rPr>
              <w:t>信用优良</w:t>
            </w:r>
          </w:p>
        </w:tc>
        <w:tc>
          <w:tcPr>
            <w:tcW w:w="1700" w:type="dxa"/>
            <w:vAlign w:val="center"/>
          </w:tcPr>
          <w:p w14:paraId="2241FFC2">
            <w:pPr>
              <w:jc w:val="center"/>
              <w:rPr>
                <w:rFonts w:ascii="宋体" w:cs="Times New Roman"/>
                <w:sz w:val="18"/>
                <w:szCs w:val="18"/>
              </w:rPr>
            </w:pPr>
            <w:r>
              <w:rPr>
                <w:rFonts w:hint="eastAsia" w:ascii="宋体" w:hAnsi="宋体" w:cs="宋体"/>
                <w:color w:val="222222"/>
                <w:sz w:val="18"/>
                <w:szCs w:val="18"/>
              </w:rPr>
              <w:t>履约能力很强</w:t>
            </w:r>
          </w:p>
        </w:tc>
        <w:tc>
          <w:tcPr>
            <w:tcW w:w="1888" w:type="dxa"/>
            <w:vAlign w:val="center"/>
          </w:tcPr>
          <w:p w14:paraId="5624CDC7">
            <w:pPr>
              <w:jc w:val="center"/>
              <w:rPr>
                <w:rFonts w:ascii="宋体" w:cs="Times New Roman"/>
                <w:sz w:val="18"/>
                <w:szCs w:val="18"/>
              </w:rPr>
            </w:pPr>
            <w:r>
              <w:rPr>
                <w:rFonts w:hint="eastAsia" w:ascii="宋体" w:hAnsi="宋体" w:cs="宋体"/>
                <w:color w:val="222222"/>
                <w:sz w:val="18"/>
                <w:szCs w:val="18"/>
              </w:rPr>
              <w:t>违约风险很低</w:t>
            </w:r>
          </w:p>
        </w:tc>
      </w:tr>
      <w:tr w14:paraId="64FC0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988" w:type="dxa"/>
            <w:vAlign w:val="center"/>
          </w:tcPr>
          <w:p w14:paraId="57DE98A3">
            <w:pPr>
              <w:jc w:val="center"/>
              <w:rPr>
                <w:rFonts w:ascii="宋体" w:cs="Times New Roman"/>
                <w:sz w:val="18"/>
                <w:szCs w:val="18"/>
              </w:rPr>
            </w:pPr>
            <w:r>
              <w:rPr>
                <w:rFonts w:ascii="宋体" w:hAnsi="宋体" w:cs="宋体"/>
                <w:kern w:val="0"/>
                <w:sz w:val="18"/>
                <w:szCs w:val="18"/>
              </w:rPr>
              <w:t>A</w:t>
            </w:r>
          </w:p>
        </w:tc>
        <w:tc>
          <w:tcPr>
            <w:tcW w:w="2652" w:type="dxa"/>
            <w:vAlign w:val="center"/>
          </w:tcPr>
          <w:p w14:paraId="0C6EF239">
            <w:pPr>
              <w:jc w:val="center"/>
              <w:rPr>
                <w:rFonts w:ascii="宋体" w:cs="Times New Roman"/>
                <w:sz w:val="18"/>
                <w:szCs w:val="18"/>
              </w:rPr>
            </w:pPr>
            <w:r>
              <w:rPr>
                <w:rFonts w:ascii="宋体" w:hAnsi="宋体" w:cs="宋体"/>
                <w:sz w:val="18"/>
                <w:szCs w:val="18"/>
              </w:rPr>
              <w:t>70</w:t>
            </w:r>
            <w:r>
              <w:rPr>
                <w:rFonts w:hint="eastAsia" w:ascii="宋体" w:hAnsi="宋体" w:cs="宋体"/>
                <w:sz w:val="18"/>
                <w:szCs w:val="18"/>
              </w:rPr>
              <w:t>分～</w:t>
            </w:r>
            <w:r>
              <w:rPr>
                <w:rFonts w:ascii="宋体" w:hAnsi="宋体" w:cs="宋体"/>
                <w:sz w:val="18"/>
                <w:szCs w:val="18"/>
              </w:rPr>
              <w:t>79</w:t>
            </w:r>
            <w:r>
              <w:rPr>
                <w:rFonts w:hint="eastAsia" w:ascii="宋体" w:hAnsi="宋体" w:cs="宋体"/>
                <w:sz w:val="18"/>
                <w:szCs w:val="18"/>
              </w:rPr>
              <w:t>分</w:t>
            </w:r>
          </w:p>
        </w:tc>
        <w:tc>
          <w:tcPr>
            <w:tcW w:w="1252" w:type="dxa"/>
            <w:vAlign w:val="center"/>
          </w:tcPr>
          <w:p w14:paraId="5BFBE92C">
            <w:pPr>
              <w:jc w:val="center"/>
              <w:rPr>
                <w:rFonts w:ascii="宋体" w:cs="Times New Roman"/>
                <w:sz w:val="18"/>
                <w:szCs w:val="18"/>
              </w:rPr>
            </w:pPr>
            <w:r>
              <w:rPr>
                <w:rFonts w:hint="eastAsia" w:ascii="宋体" w:hAnsi="宋体" w:cs="宋体"/>
                <w:color w:val="222222"/>
                <w:sz w:val="18"/>
                <w:szCs w:val="18"/>
              </w:rPr>
              <w:t>信用较好</w:t>
            </w:r>
          </w:p>
        </w:tc>
        <w:tc>
          <w:tcPr>
            <w:tcW w:w="1700" w:type="dxa"/>
            <w:vAlign w:val="center"/>
          </w:tcPr>
          <w:p w14:paraId="30A74A60">
            <w:pPr>
              <w:jc w:val="center"/>
              <w:rPr>
                <w:rFonts w:ascii="宋体" w:cs="Times New Roman"/>
                <w:sz w:val="18"/>
                <w:szCs w:val="18"/>
              </w:rPr>
            </w:pPr>
            <w:r>
              <w:rPr>
                <w:rFonts w:hint="eastAsia" w:ascii="宋体" w:hAnsi="宋体" w:cs="宋体"/>
                <w:color w:val="222222"/>
                <w:sz w:val="18"/>
                <w:szCs w:val="18"/>
              </w:rPr>
              <w:t>履约能力较强</w:t>
            </w:r>
          </w:p>
        </w:tc>
        <w:tc>
          <w:tcPr>
            <w:tcW w:w="1888" w:type="dxa"/>
            <w:vAlign w:val="center"/>
          </w:tcPr>
          <w:p w14:paraId="789C36D2">
            <w:pPr>
              <w:jc w:val="center"/>
              <w:rPr>
                <w:rFonts w:ascii="宋体" w:cs="Times New Roman"/>
                <w:sz w:val="18"/>
                <w:szCs w:val="18"/>
              </w:rPr>
            </w:pPr>
            <w:r>
              <w:rPr>
                <w:rFonts w:hint="eastAsia" w:ascii="宋体" w:hAnsi="宋体" w:cs="宋体"/>
                <w:color w:val="222222"/>
                <w:sz w:val="18"/>
                <w:szCs w:val="18"/>
              </w:rPr>
              <w:t>违约风险较低</w:t>
            </w:r>
          </w:p>
        </w:tc>
      </w:tr>
      <w:tr w14:paraId="7F103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988" w:type="dxa"/>
            <w:vAlign w:val="center"/>
          </w:tcPr>
          <w:p w14:paraId="281CE9BE">
            <w:pPr>
              <w:jc w:val="center"/>
              <w:rPr>
                <w:rFonts w:hint="eastAsia" w:ascii="宋体" w:eastAsia="宋体" w:cs="Times New Roman"/>
                <w:sz w:val="18"/>
                <w:szCs w:val="18"/>
                <w:lang w:val="en-US" w:eastAsia="zh-CN"/>
              </w:rPr>
            </w:pPr>
            <w:r>
              <w:rPr>
                <w:rFonts w:hint="eastAsia" w:ascii="宋体" w:cs="Times New Roman"/>
                <w:sz w:val="18"/>
                <w:szCs w:val="18"/>
                <w:lang w:val="en-US" w:eastAsia="zh-CN"/>
              </w:rPr>
              <w:t>B</w:t>
            </w:r>
          </w:p>
        </w:tc>
        <w:tc>
          <w:tcPr>
            <w:tcW w:w="2652" w:type="dxa"/>
            <w:vAlign w:val="center"/>
          </w:tcPr>
          <w:p w14:paraId="39F315AA">
            <w:pPr>
              <w:jc w:val="center"/>
              <w:rPr>
                <w:rFonts w:ascii="宋体" w:cs="Times New Roman"/>
                <w:sz w:val="18"/>
                <w:szCs w:val="18"/>
              </w:rPr>
            </w:pPr>
            <w:r>
              <w:rPr>
                <w:rFonts w:ascii="宋体" w:hAnsi="宋体" w:cs="宋体"/>
                <w:sz w:val="18"/>
                <w:szCs w:val="18"/>
              </w:rPr>
              <w:t>60</w:t>
            </w:r>
            <w:r>
              <w:rPr>
                <w:rFonts w:hint="eastAsia" w:ascii="宋体" w:hAnsi="宋体" w:cs="宋体"/>
                <w:sz w:val="18"/>
                <w:szCs w:val="18"/>
              </w:rPr>
              <w:t>分～</w:t>
            </w:r>
            <w:r>
              <w:rPr>
                <w:rFonts w:ascii="宋体" w:hAnsi="宋体" w:cs="宋体"/>
                <w:sz w:val="18"/>
                <w:szCs w:val="18"/>
              </w:rPr>
              <w:t>69</w:t>
            </w:r>
            <w:r>
              <w:rPr>
                <w:rFonts w:hint="eastAsia" w:ascii="宋体" w:hAnsi="宋体" w:cs="宋体"/>
                <w:sz w:val="18"/>
                <w:szCs w:val="18"/>
              </w:rPr>
              <w:t>分</w:t>
            </w:r>
          </w:p>
        </w:tc>
        <w:tc>
          <w:tcPr>
            <w:tcW w:w="1252" w:type="dxa"/>
            <w:vAlign w:val="center"/>
          </w:tcPr>
          <w:p w14:paraId="79EC6510">
            <w:pPr>
              <w:jc w:val="center"/>
              <w:rPr>
                <w:rFonts w:ascii="宋体" w:cs="Times New Roman"/>
                <w:sz w:val="18"/>
                <w:szCs w:val="18"/>
              </w:rPr>
            </w:pPr>
            <w:r>
              <w:rPr>
                <w:rFonts w:hint="eastAsia" w:ascii="宋体" w:hAnsi="宋体" w:cs="宋体"/>
                <w:color w:val="222222"/>
                <w:sz w:val="18"/>
                <w:szCs w:val="18"/>
              </w:rPr>
              <w:t>信用一般</w:t>
            </w:r>
          </w:p>
        </w:tc>
        <w:tc>
          <w:tcPr>
            <w:tcW w:w="1700" w:type="dxa"/>
            <w:vAlign w:val="center"/>
          </w:tcPr>
          <w:p w14:paraId="2D222770">
            <w:pPr>
              <w:jc w:val="center"/>
              <w:rPr>
                <w:rFonts w:ascii="宋体" w:cs="Times New Roman"/>
                <w:sz w:val="18"/>
                <w:szCs w:val="18"/>
              </w:rPr>
            </w:pPr>
            <w:r>
              <w:rPr>
                <w:rFonts w:hint="eastAsia" w:ascii="宋体" w:hAnsi="宋体" w:cs="宋体"/>
                <w:color w:val="222222"/>
                <w:sz w:val="18"/>
                <w:szCs w:val="18"/>
              </w:rPr>
              <w:t>履约能力一般</w:t>
            </w:r>
          </w:p>
        </w:tc>
        <w:tc>
          <w:tcPr>
            <w:tcW w:w="1888" w:type="dxa"/>
            <w:vAlign w:val="center"/>
          </w:tcPr>
          <w:p w14:paraId="14FC5226">
            <w:pPr>
              <w:jc w:val="center"/>
              <w:rPr>
                <w:rFonts w:ascii="宋体" w:cs="Times New Roman"/>
                <w:sz w:val="18"/>
                <w:szCs w:val="18"/>
              </w:rPr>
            </w:pPr>
            <w:r>
              <w:rPr>
                <w:rFonts w:hint="eastAsia" w:ascii="宋体" w:hAnsi="宋体" w:cs="宋体"/>
                <w:color w:val="222222"/>
                <w:sz w:val="18"/>
                <w:szCs w:val="18"/>
              </w:rPr>
              <w:t>违约风险一般</w:t>
            </w:r>
          </w:p>
        </w:tc>
      </w:tr>
      <w:tr w14:paraId="3B5C0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988" w:type="dxa"/>
            <w:vAlign w:val="center"/>
          </w:tcPr>
          <w:p w14:paraId="54F53318">
            <w:pPr>
              <w:jc w:val="center"/>
              <w:rPr>
                <w:rFonts w:hint="eastAsia" w:ascii="宋体" w:eastAsia="宋体" w:cs="Times New Roman"/>
                <w:sz w:val="18"/>
                <w:szCs w:val="18"/>
                <w:lang w:val="en-US" w:eastAsia="zh-CN"/>
              </w:rPr>
            </w:pPr>
            <w:r>
              <w:rPr>
                <w:rFonts w:hint="eastAsia" w:ascii="宋体" w:cs="Times New Roman"/>
                <w:sz w:val="18"/>
                <w:szCs w:val="18"/>
                <w:lang w:val="en-US" w:eastAsia="zh-CN"/>
              </w:rPr>
              <w:t>C</w:t>
            </w:r>
          </w:p>
        </w:tc>
        <w:tc>
          <w:tcPr>
            <w:tcW w:w="2652" w:type="dxa"/>
            <w:vAlign w:val="center"/>
          </w:tcPr>
          <w:p w14:paraId="34D4A558">
            <w:pPr>
              <w:jc w:val="center"/>
              <w:rPr>
                <w:rFonts w:ascii="宋体" w:cs="Times New Roman"/>
                <w:sz w:val="18"/>
                <w:szCs w:val="18"/>
              </w:rPr>
            </w:pPr>
            <w:r>
              <w:rPr>
                <w:rFonts w:ascii="宋体" w:hAnsi="宋体" w:cs="宋体"/>
                <w:sz w:val="18"/>
                <w:szCs w:val="18"/>
              </w:rPr>
              <w:t>50</w:t>
            </w:r>
            <w:r>
              <w:rPr>
                <w:rFonts w:hint="eastAsia" w:ascii="宋体" w:hAnsi="宋体" w:cs="宋体"/>
                <w:sz w:val="18"/>
                <w:szCs w:val="18"/>
              </w:rPr>
              <w:t>分～</w:t>
            </w:r>
            <w:r>
              <w:rPr>
                <w:rFonts w:ascii="宋体" w:hAnsi="宋体" w:cs="宋体"/>
                <w:sz w:val="18"/>
                <w:szCs w:val="18"/>
              </w:rPr>
              <w:t>59</w:t>
            </w:r>
            <w:r>
              <w:rPr>
                <w:rFonts w:hint="eastAsia" w:ascii="宋体" w:hAnsi="宋体" w:cs="宋体"/>
                <w:sz w:val="18"/>
                <w:szCs w:val="18"/>
              </w:rPr>
              <w:t>分</w:t>
            </w:r>
          </w:p>
        </w:tc>
        <w:tc>
          <w:tcPr>
            <w:tcW w:w="1252" w:type="dxa"/>
            <w:vAlign w:val="center"/>
          </w:tcPr>
          <w:p w14:paraId="6F276FB3">
            <w:pPr>
              <w:jc w:val="center"/>
              <w:rPr>
                <w:rFonts w:ascii="宋体" w:cs="Times New Roman"/>
                <w:sz w:val="18"/>
                <w:szCs w:val="18"/>
              </w:rPr>
            </w:pPr>
            <w:r>
              <w:rPr>
                <w:rFonts w:hint="eastAsia" w:ascii="宋体" w:hAnsi="宋体" w:cs="宋体"/>
                <w:color w:val="222222"/>
                <w:sz w:val="18"/>
                <w:szCs w:val="18"/>
              </w:rPr>
              <w:t>信用欠佳</w:t>
            </w:r>
          </w:p>
        </w:tc>
        <w:tc>
          <w:tcPr>
            <w:tcW w:w="1700" w:type="dxa"/>
            <w:vAlign w:val="center"/>
          </w:tcPr>
          <w:p w14:paraId="7788E518">
            <w:pPr>
              <w:jc w:val="center"/>
              <w:rPr>
                <w:rFonts w:ascii="宋体" w:cs="Times New Roman"/>
                <w:sz w:val="18"/>
                <w:szCs w:val="18"/>
              </w:rPr>
            </w:pPr>
            <w:r>
              <w:rPr>
                <w:rFonts w:hint="eastAsia" w:ascii="宋体" w:hAnsi="宋体" w:cs="宋体"/>
                <w:color w:val="222222"/>
                <w:sz w:val="18"/>
                <w:szCs w:val="18"/>
              </w:rPr>
              <w:t>履约能力较弱</w:t>
            </w:r>
          </w:p>
        </w:tc>
        <w:tc>
          <w:tcPr>
            <w:tcW w:w="1888" w:type="dxa"/>
            <w:vAlign w:val="center"/>
          </w:tcPr>
          <w:p w14:paraId="00B814D9">
            <w:pPr>
              <w:jc w:val="center"/>
              <w:rPr>
                <w:rFonts w:ascii="宋体" w:cs="Times New Roman"/>
                <w:sz w:val="18"/>
                <w:szCs w:val="18"/>
              </w:rPr>
            </w:pPr>
            <w:r>
              <w:rPr>
                <w:rFonts w:hint="eastAsia" w:ascii="宋体" w:hAnsi="宋体" w:cs="宋体"/>
                <w:color w:val="222222"/>
                <w:sz w:val="18"/>
                <w:szCs w:val="18"/>
              </w:rPr>
              <w:t>有一定违约风险</w:t>
            </w:r>
          </w:p>
        </w:tc>
      </w:tr>
      <w:tr w14:paraId="285B1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88" w:type="dxa"/>
            <w:vAlign w:val="center"/>
          </w:tcPr>
          <w:p w14:paraId="67BA2B46">
            <w:pPr>
              <w:jc w:val="center"/>
              <w:rPr>
                <w:rFonts w:hint="eastAsia" w:ascii="宋体" w:eastAsia="宋体" w:cs="Times New Roman"/>
                <w:sz w:val="18"/>
                <w:szCs w:val="18"/>
                <w:lang w:val="en-US" w:eastAsia="zh-CN"/>
              </w:rPr>
            </w:pPr>
            <w:r>
              <w:rPr>
                <w:rFonts w:hint="eastAsia" w:ascii="宋体" w:cs="Times New Roman"/>
                <w:sz w:val="18"/>
                <w:szCs w:val="18"/>
                <w:lang w:val="en-US" w:eastAsia="zh-CN"/>
              </w:rPr>
              <w:t>D</w:t>
            </w:r>
          </w:p>
        </w:tc>
        <w:tc>
          <w:tcPr>
            <w:tcW w:w="2652" w:type="dxa"/>
            <w:vAlign w:val="center"/>
          </w:tcPr>
          <w:p w14:paraId="5E0E8B03">
            <w:pPr>
              <w:jc w:val="center"/>
              <w:rPr>
                <w:rFonts w:ascii="宋体" w:cs="Times New Roman"/>
                <w:sz w:val="18"/>
                <w:szCs w:val="18"/>
              </w:rPr>
            </w:pPr>
            <w:r>
              <w:rPr>
                <w:rFonts w:ascii="宋体" w:hAnsi="宋体" w:cs="宋体"/>
                <w:sz w:val="18"/>
                <w:szCs w:val="18"/>
              </w:rPr>
              <w:t>40</w:t>
            </w:r>
            <w:r>
              <w:rPr>
                <w:rFonts w:hint="eastAsia" w:ascii="宋体" w:hAnsi="宋体" w:cs="宋体"/>
                <w:sz w:val="18"/>
                <w:szCs w:val="18"/>
              </w:rPr>
              <w:t>分～</w:t>
            </w:r>
            <w:r>
              <w:rPr>
                <w:rFonts w:ascii="宋体" w:hAnsi="宋体" w:cs="宋体"/>
                <w:sz w:val="18"/>
                <w:szCs w:val="18"/>
              </w:rPr>
              <w:t>49</w:t>
            </w:r>
            <w:r>
              <w:rPr>
                <w:rFonts w:hint="eastAsia" w:ascii="宋体" w:hAnsi="宋体" w:cs="宋体"/>
                <w:sz w:val="18"/>
                <w:szCs w:val="18"/>
              </w:rPr>
              <w:t>分</w:t>
            </w:r>
          </w:p>
        </w:tc>
        <w:tc>
          <w:tcPr>
            <w:tcW w:w="1252" w:type="dxa"/>
            <w:vAlign w:val="center"/>
          </w:tcPr>
          <w:p w14:paraId="1C74C70E">
            <w:pPr>
              <w:jc w:val="center"/>
              <w:rPr>
                <w:rFonts w:ascii="宋体" w:cs="Times New Roman"/>
                <w:sz w:val="18"/>
                <w:szCs w:val="18"/>
              </w:rPr>
            </w:pPr>
            <w:r>
              <w:rPr>
                <w:rFonts w:hint="eastAsia" w:ascii="宋体" w:hAnsi="宋体" w:cs="宋体"/>
                <w:color w:val="222222"/>
                <w:sz w:val="18"/>
                <w:szCs w:val="18"/>
              </w:rPr>
              <w:t>信用较差</w:t>
            </w:r>
          </w:p>
        </w:tc>
        <w:tc>
          <w:tcPr>
            <w:tcW w:w="1700" w:type="dxa"/>
            <w:vAlign w:val="center"/>
          </w:tcPr>
          <w:p w14:paraId="4AB7BAED">
            <w:pPr>
              <w:jc w:val="center"/>
              <w:rPr>
                <w:rFonts w:ascii="宋体" w:cs="Times New Roman"/>
                <w:sz w:val="18"/>
                <w:szCs w:val="18"/>
              </w:rPr>
            </w:pPr>
            <w:r>
              <w:rPr>
                <w:rFonts w:hint="eastAsia" w:ascii="宋体" w:hAnsi="宋体" w:cs="宋体"/>
                <w:color w:val="222222"/>
                <w:sz w:val="18"/>
                <w:szCs w:val="18"/>
              </w:rPr>
              <w:t>履约能力较差</w:t>
            </w:r>
          </w:p>
        </w:tc>
        <w:tc>
          <w:tcPr>
            <w:tcW w:w="1888" w:type="dxa"/>
            <w:vAlign w:val="center"/>
          </w:tcPr>
          <w:p w14:paraId="138B894D">
            <w:pPr>
              <w:jc w:val="center"/>
              <w:rPr>
                <w:rFonts w:ascii="宋体" w:cs="Times New Roman"/>
                <w:sz w:val="18"/>
                <w:szCs w:val="18"/>
              </w:rPr>
            </w:pPr>
            <w:r>
              <w:rPr>
                <w:rFonts w:hint="eastAsia" w:ascii="宋体" w:hAnsi="宋体" w:cs="宋体"/>
                <w:color w:val="222222"/>
                <w:sz w:val="18"/>
                <w:szCs w:val="18"/>
              </w:rPr>
              <w:t>违约风险较大</w:t>
            </w:r>
          </w:p>
        </w:tc>
      </w:tr>
    </w:tbl>
    <w:p w14:paraId="0C509712">
      <w:pPr>
        <w:pStyle w:val="41"/>
        <w:numPr>
          <w:ilvl w:val="2"/>
          <w:numId w:val="0"/>
        </w:numPr>
        <w:spacing w:before="120" w:after="120"/>
        <w:ind w:leftChars="0" w:firstLine="420" w:firstLineChars="200"/>
        <w:rPr>
          <w:rFonts w:hint="eastAsia"/>
          <w:lang w:val="en-US" w:eastAsia="zh-CN"/>
        </w:rPr>
      </w:pPr>
      <w:r>
        <w:rPr>
          <w:rFonts w:hint="eastAsia" w:ascii="宋体" w:hAnsi="Times New Roman" w:eastAsia="宋体" w:cs="Times New Roman"/>
          <w:sz w:val="21"/>
          <w:lang w:val="en-US" w:eastAsia="zh-CN" w:bidi="ar-SA"/>
        </w:rPr>
        <w:t>注：一票否决判定 D 级不适用本表计分区间</w:t>
      </w:r>
      <w:r>
        <w:rPr>
          <w:rFonts w:hint="eastAsia" w:ascii="宋体" w:eastAsia="宋体" w:cs="Times New Roman"/>
          <w:sz w:val="21"/>
          <w:lang w:val="en-US" w:eastAsia="zh-CN" w:bidi="ar-SA"/>
        </w:rPr>
        <w:t>。</w:t>
      </w:r>
    </w:p>
    <w:p w14:paraId="51E2CDAD">
      <w:pPr>
        <w:pStyle w:val="41"/>
        <w:numPr>
          <w:ilvl w:val="2"/>
          <w:numId w:val="0"/>
        </w:numPr>
        <w:spacing w:before="120" w:after="120"/>
        <w:ind w:leftChars="0"/>
        <w:rPr>
          <w:rFonts w:hint="eastAsia" w:hAnsi="黑体"/>
        </w:rPr>
      </w:pPr>
      <w:r>
        <w:rPr>
          <w:rFonts w:hint="eastAsia" w:hAnsi="黑体"/>
          <w:lang w:val="en-US" w:eastAsia="zh-CN"/>
        </w:rPr>
        <w:t xml:space="preserve">8.2  </w:t>
      </w:r>
      <w:bookmarkEnd w:id="68"/>
      <w:bookmarkEnd w:id="69"/>
      <w:r>
        <w:rPr>
          <w:rFonts w:hint="eastAsia" w:hAnsi="黑体"/>
        </w:rPr>
        <w:t>信用等级确定</w:t>
      </w:r>
    </w:p>
    <w:p w14:paraId="7E4B0B1F">
      <w:pPr>
        <w:pStyle w:val="35"/>
        <w:rPr>
          <w:rFonts w:hint="eastAsia"/>
        </w:rPr>
      </w:pPr>
      <w:r>
        <w:rPr>
          <w:rFonts w:hint="eastAsia"/>
        </w:rPr>
        <w:t>评价机构应依据本文件附录</w:t>
      </w:r>
      <w:r>
        <w:rPr>
          <w:rFonts w:hint="eastAsia"/>
          <w:lang w:val="en-US" w:eastAsia="zh-CN"/>
        </w:rPr>
        <w:t>A</w:t>
      </w:r>
      <w:r>
        <w:rPr>
          <w:rFonts w:hint="eastAsia"/>
        </w:rPr>
        <w:t>（规范性）规定的评价指标及评分细则，经综合评价程序确定企业信用等级。</w:t>
      </w:r>
    </w:p>
    <w:p w14:paraId="293E7077">
      <w:pPr>
        <w:pStyle w:val="41"/>
        <w:numPr>
          <w:ilvl w:val="2"/>
          <w:numId w:val="0"/>
        </w:numPr>
        <w:spacing w:before="120" w:after="120"/>
        <w:ind w:leftChars="0"/>
        <w:rPr>
          <w:rFonts w:hint="eastAsia"/>
          <w:lang w:val="en-US" w:eastAsia="zh-CN"/>
        </w:rPr>
      </w:pPr>
      <w:r>
        <w:rPr>
          <w:rFonts w:hint="eastAsia"/>
          <w:lang w:val="en-US" w:eastAsia="zh-CN"/>
        </w:rPr>
        <w:t>9  评价程序</w:t>
      </w:r>
    </w:p>
    <w:p w14:paraId="3D62AEA0">
      <w:pPr>
        <w:pStyle w:val="41"/>
        <w:numPr>
          <w:ilvl w:val="2"/>
          <w:numId w:val="0"/>
        </w:numPr>
        <w:spacing w:before="120" w:after="120"/>
        <w:ind w:leftChars="0"/>
        <w:rPr>
          <w:rFonts w:hint="eastAsia"/>
          <w:lang w:val="en-US" w:eastAsia="zh-CN"/>
        </w:rPr>
      </w:pPr>
      <w:r>
        <w:rPr>
          <w:rFonts w:hint="eastAsia"/>
          <w:lang w:val="en-US" w:eastAsia="zh-CN"/>
        </w:rPr>
        <w:t>9.1  评价准备</w:t>
      </w:r>
    </w:p>
    <w:p w14:paraId="7AAB3066">
      <w:pPr>
        <w:pStyle w:val="35"/>
        <w:ind w:left="0" w:leftChars="0" w:firstLine="0" w:firstLineChars="0"/>
        <w:rPr>
          <w:rFonts w:hint="default" w:ascii="黑体" w:hAnsi="Times New Roman" w:eastAsia="黑体" w:cs="Times New Roman"/>
          <w:sz w:val="21"/>
          <w:lang w:val="en-US" w:eastAsia="zh-CN" w:bidi="ar-SA"/>
        </w:rPr>
      </w:pPr>
      <w:r>
        <w:rPr>
          <w:rFonts w:hint="eastAsia" w:ascii="黑体" w:eastAsia="黑体" w:cs="Times New Roman"/>
          <w:sz w:val="21"/>
          <w:lang w:val="en-US" w:eastAsia="zh-CN" w:bidi="ar-SA"/>
        </w:rPr>
        <w:t>9</w:t>
      </w:r>
      <w:r>
        <w:rPr>
          <w:rFonts w:hint="default" w:ascii="黑体" w:hAnsi="Times New Roman" w:eastAsia="黑体" w:cs="Times New Roman"/>
          <w:sz w:val="21"/>
          <w:lang w:val="en-US" w:eastAsia="zh-CN" w:bidi="ar-SA"/>
        </w:rPr>
        <w:t>.1.1</w:t>
      </w:r>
      <w:r>
        <w:rPr>
          <w:rFonts w:hint="eastAsia" w:ascii="黑体" w:eastAsia="黑体" w:cs="Times New Roman"/>
          <w:sz w:val="21"/>
          <w:lang w:val="en-US" w:eastAsia="zh-CN" w:bidi="ar-SA"/>
        </w:rPr>
        <w:t xml:space="preserve">  </w:t>
      </w:r>
      <w:r>
        <w:rPr>
          <w:rFonts w:hint="eastAsia"/>
          <w:lang w:val="en-US" w:eastAsia="zh-CN"/>
        </w:rPr>
        <w:t>评价机构应制定年度评价计划，明确评价范围、时间安排、资源配置及工作要求，并向社会公开发布评价通知。</w:t>
      </w:r>
    </w:p>
    <w:p w14:paraId="181348E7">
      <w:pPr>
        <w:pStyle w:val="35"/>
        <w:ind w:left="0" w:leftChars="0" w:firstLine="0" w:firstLineChars="0"/>
        <w:rPr>
          <w:rFonts w:hint="default" w:ascii="黑体" w:hAnsi="Times New Roman" w:eastAsia="黑体" w:cs="Times New Roman"/>
          <w:sz w:val="21"/>
          <w:lang w:val="en-US" w:eastAsia="zh-CN" w:bidi="ar-SA"/>
        </w:rPr>
      </w:pPr>
      <w:r>
        <w:rPr>
          <w:rFonts w:hint="eastAsia" w:ascii="黑体" w:eastAsia="黑体" w:cs="Times New Roman"/>
          <w:sz w:val="21"/>
          <w:lang w:val="en-US" w:eastAsia="zh-CN" w:bidi="ar-SA"/>
        </w:rPr>
        <w:t>9</w:t>
      </w:r>
      <w:r>
        <w:rPr>
          <w:rFonts w:hint="default" w:ascii="黑体" w:hAnsi="Times New Roman" w:eastAsia="黑体" w:cs="Times New Roman"/>
          <w:sz w:val="21"/>
          <w:lang w:val="en-US" w:eastAsia="zh-CN" w:bidi="ar-SA"/>
        </w:rPr>
        <w:t>.1.2</w:t>
      </w:r>
      <w:r>
        <w:rPr>
          <w:rFonts w:hint="eastAsia" w:ascii="黑体" w:eastAsia="黑体" w:cs="Times New Roman"/>
          <w:sz w:val="21"/>
          <w:lang w:val="en-US" w:eastAsia="zh-CN" w:bidi="ar-SA"/>
        </w:rPr>
        <w:t xml:space="preserve">  </w:t>
      </w:r>
      <w:r>
        <w:rPr>
          <w:rFonts w:hint="eastAsia"/>
          <w:lang w:val="en-US" w:eastAsia="zh-CN"/>
        </w:rPr>
        <w:t>评价机构应编制评价工作指南，明确申报材料清单、格式要求、提交方式及截止时间。</w:t>
      </w:r>
    </w:p>
    <w:p w14:paraId="72C6F135">
      <w:pPr>
        <w:pStyle w:val="35"/>
        <w:ind w:left="0" w:leftChars="0" w:firstLine="0" w:firstLineChars="0"/>
        <w:rPr>
          <w:rFonts w:hint="default" w:ascii="黑体" w:hAnsi="Times New Roman" w:eastAsia="黑体" w:cs="Times New Roman"/>
          <w:sz w:val="21"/>
          <w:lang w:val="en-US" w:eastAsia="zh-CN" w:bidi="ar-SA"/>
        </w:rPr>
      </w:pPr>
      <w:r>
        <w:rPr>
          <w:rFonts w:hint="eastAsia" w:ascii="黑体" w:eastAsia="黑体" w:cs="Times New Roman"/>
          <w:sz w:val="21"/>
          <w:lang w:val="en-US" w:eastAsia="zh-CN" w:bidi="ar-SA"/>
        </w:rPr>
        <w:t>9</w:t>
      </w:r>
      <w:r>
        <w:rPr>
          <w:rFonts w:hint="default" w:ascii="黑体" w:hAnsi="Times New Roman" w:eastAsia="黑体" w:cs="Times New Roman"/>
          <w:sz w:val="21"/>
          <w:lang w:val="en-US" w:eastAsia="zh-CN" w:bidi="ar-SA"/>
        </w:rPr>
        <w:t>.1.</w:t>
      </w:r>
      <w:r>
        <w:rPr>
          <w:rFonts w:hint="eastAsia" w:ascii="黑体" w:eastAsia="黑体" w:cs="Times New Roman"/>
          <w:sz w:val="21"/>
          <w:lang w:val="en-US" w:eastAsia="zh-CN" w:bidi="ar-SA"/>
        </w:rPr>
        <w:t xml:space="preserve">3  </w:t>
      </w:r>
      <w:r>
        <w:rPr>
          <w:rFonts w:hint="eastAsia"/>
          <w:lang w:val="en-US" w:eastAsia="zh-CN"/>
        </w:rPr>
        <w:t>评价机构应采取随机抽取的方式从专家评审委员会抽取奇数专家组建评价小组，确定小组成员分工，组织评价人员培训。</w:t>
      </w:r>
    </w:p>
    <w:p w14:paraId="217DFC62">
      <w:pPr>
        <w:pStyle w:val="41"/>
        <w:numPr>
          <w:ilvl w:val="2"/>
          <w:numId w:val="0"/>
        </w:numPr>
        <w:spacing w:before="120" w:after="120"/>
        <w:ind w:leftChars="0"/>
        <w:rPr>
          <w:rFonts w:hint="default"/>
          <w:lang w:val="en-US" w:eastAsia="zh-CN"/>
        </w:rPr>
      </w:pPr>
      <w:r>
        <w:rPr>
          <w:rFonts w:hint="eastAsia"/>
          <w:lang w:val="en-US" w:eastAsia="zh-CN"/>
        </w:rPr>
        <w:t xml:space="preserve">9.2  申报 </w:t>
      </w:r>
    </w:p>
    <w:p w14:paraId="475B2DAD">
      <w:pPr>
        <w:pStyle w:val="35"/>
        <w:ind w:left="0" w:leftChars="0" w:firstLine="0" w:firstLineChars="0"/>
        <w:rPr>
          <w:rFonts w:hint="default"/>
          <w:lang w:val="en-US" w:eastAsia="zh-CN"/>
        </w:rPr>
      </w:pPr>
      <w:r>
        <w:rPr>
          <w:rFonts w:hint="eastAsia" w:ascii="黑体" w:eastAsia="黑体" w:cs="Times New Roman"/>
          <w:sz w:val="21"/>
          <w:lang w:val="en-US" w:eastAsia="zh-CN" w:bidi="ar-SA"/>
        </w:rPr>
        <w:t>9</w:t>
      </w:r>
      <w:r>
        <w:rPr>
          <w:rFonts w:hint="default" w:ascii="黑体" w:hAnsi="Times New Roman" w:eastAsia="黑体" w:cs="Times New Roman"/>
          <w:sz w:val="21"/>
          <w:lang w:val="en-US" w:eastAsia="zh-CN" w:bidi="ar-SA"/>
        </w:rPr>
        <w:t>.</w:t>
      </w:r>
      <w:r>
        <w:rPr>
          <w:rFonts w:hint="eastAsia" w:ascii="黑体" w:eastAsia="黑体" w:cs="Times New Roman"/>
          <w:sz w:val="21"/>
          <w:lang w:val="en-US" w:eastAsia="zh-CN" w:bidi="ar-SA"/>
        </w:rPr>
        <w:t>2</w:t>
      </w:r>
      <w:r>
        <w:rPr>
          <w:rFonts w:hint="default" w:ascii="黑体" w:hAnsi="Times New Roman" w:eastAsia="黑体" w:cs="Times New Roman"/>
          <w:sz w:val="21"/>
          <w:lang w:val="en-US" w:eastAsia="zh-CN" w:bidi="ar-SA"/>
        </w:rPr>
        <w:t>.1</w:t>
      </w:r>
      <w:r>
        <w:rPr>
          <w:rFonts w:hint="eastAsia" w:ascii="黑体" w:hAnsi="Times New Roman" w:eastAsia="黑体" w:cs="Times New Roman"/>
          <w:sz w:val="21"/>
          <w:lang w:val="en-US" w:eastAsia="zh-CN" w:bidi="ar-SA"/>
        </w:rPr>
        <w:t xml:space="preserve"> </w:t>
      </w:r>
      <w:r>
        <w:rPr>
          <w:rFonts w:hint="eastAsia"/>
          <w:lang w:val="en-US" w:eastAsia="zh-CN"/>
        </w:rPr>
        <w:t xml:space="preserve"> 拍卖企业应自主向评价机构提交书面申请，表明参与信用评价的意愿，并填写附录B规定的申报表</w:t>
      </w:r>
      <w:r>
        <w:rPr>
          <w:rFonts w:hint="default"/>
          <w:lang w:val="en-US" w:eastAsia="zh-CN"/>
        </w:rPr>
        <w:t>。</w:t>
      </w:r>
    </w:p>
    <w:p w14:paraId="1293CD76">
      <w:pPr>
        <w:pStyle w:val="35"/>
        <w:ind w:left="0" w:leftChars="0" w:firstLine="0" w:firstLineChars="0"/>
        <w:rPr>
          <w:rFonts w:hint="default"/>
          <w:lang w:val="en-US" w:eastAsia="zh-CN"/>
        </w:rPr>
      </w:pPr>
      <w:r>
        <w:rPr>
          <w:rFonts w:hint="eastAsia" w:ascii="黑体" w:eastAsia="黑体" w:cs="Times New Roman"/>
          <w:sz w:val="21"/>
          <w:lang w:val="en-US" w:eastAsia="zh-CN" w:bidi="ar-SA"/>
        </w:rPr>
        <w:t>9</w:t>
      </w:r>
      <w:r>
        <w:rPr>
          <w:rFonts w:hint="default" w:ascii="黑体" w:hAnsi="Times New Roman" w:eastAsia="黑体" w:cs="Times New Roman"/>
          <w:sz w:val="21"/>
          <w:lang w:val="en-US" w:eastAsia="zh-CN" w:bidi="ar-SA"/>
        </w:rPr>
        <w:t>.</w:t>
      </w:r>
      <w:r>
        <w:rPr>
          <w:rFonts w:hint="eastAsia" w:ascii="黑体" w:eastAsia="黑体" w:cs="Times New Roman"/>
          <w:sz w:val="21"/>
          <w:lang w:val="en-US" w:eastAsia="zh-CN" w:bidi="ar-SA"/>
        </w:rPr>
        <w:t>2</w:t>
      </w:r>
      <w:r>
        <w:rPr>
          <w:rFonts w:hint="default" w:ascii="黑体" w:hAnsi="Times New Roman" w:eastAsia="黑体" w:cs="Times New Roman"/>
          <w:sz w:val="21"/>
          <w:lang w:val="en-US" w:eastAsia="zh-CN" w:bidi="ar-SA"/>
        </w:rPr>
        <w:t xml:space="preserve">.2 </w:t>
      </w:r>
      <w:r>
        <w:rPr>
          <w:rFonts w:hint="eastAsia"/>
          <w:lang w:val="en-US" w:eastAsia="zh-CN"/>
        </w:rPr>
        <w:t xml:space="preserve"> </w:t>
      </w:r>
      <w:r>
        <w:rPr>
          <w:rFonts w:hint="default"/>
          <w:lang w:val="en-US" w:eastAsia="zh-CN"/>
        </w:rPr>
        <w:t>企业应提供全面、真实、准确的信用评价相关资料，并对所提交材料的真实性、完整性、合法性负责。申报材料包括但不限于：</w:t>
      </w:r>
    </w:p>
    <w:p w14:paraId="3643A4D6">
      <w:pPr>
        <w:pStyle w:val="35"/>
        <w:ind w:left="0" w:leftChars="0" w:firstLine="420" w:firstLineChars="200"/>
        <w:rPr>
          <w:rFonts w:hint="default"/>
          <w:lang w:val="en-US" w:eastAsia="zh-CN"/>
        </w:rPr>
      </w:pPr>
      <w:r>
        <w:rPr>
          <w:rFonts w:hint="default"/>
          <w:lang w:val="en-US" w:eastAsia="zh-CN"/>
        </w:rPr>
        <w:t xml:space="preserve">a）企业营业执照、拍卖经营批准证书、文物拍卖许可证（如涉及）等资质证明文件的原件及复印件；  </w:t>
      </w:r>
    </w:p>
    <w:p w14:paraId="5751FC6B">
      <w:pPr>
        <w:pStyle w:val="35"/>
        <w:ind w:left="0" w:leftChars="0" w:firstLine="420" w:firstLineChars="200"/>
        <w:rPr>
          <w:rFonts w:hint="default"/>
          <w:lang w:val="en-US" w:eastAsia="zh-CN"/>
        </w:rPr>
      </w:pPr>
      <w:r>
        <w:rPr>
          <w:rFonts w:hint="default"/>
          <w:lang w:val="en-US" w:eastAsia="zh-CN"/>
        </w:rPr>
        <w:t xml:space="preserve">b）企业章程、法人治理结构文件及近三年内重大变更记录；  </w:t>
      </w:r>
    </w:p>
    <w:p w14:paraId="69F0B1E9">
      <w:pPr>
        <w:pStyle w:val="35"/>
        <w:ind w:left="0" w:leftChars="0" w:firstLine="420" w:firstLineChars="200"/>
        <w:rPr>
          <w:rFonts w:hint="default"/>
          <w:lang w:val="en-US" w:eastAsia="zh-CN"/>
        </w:rPr>
      </w:pPr>
      <w:r>
        <w:rPr>
          <w:rFonts w:hint="default"/>
          <w:lang w:val="en-US" w:eastAsia="zh-CN"/>
        </w:rPr>
        <w:t xml:space="preserve">c）拍卖师执业资格证书及注册记录、其他专业人员资质证明及劳动合同、社保缴纳记录；  </w:t>
      </w:r>
    </w:p>
    <w:p w14:paraId="613C478C">
      <w:pPr>
        <w:pStyle w:val="35"/>
        <w:ind w:left="0" w:leftChars="0" w:firstLine="420" w:firstLineChars="200"/>
        <w:rPr>
          <w:rFonts w:hint="default"/>
          <w:lang w:val="en-US" w:eastAsia="zh-CN"/>
        </w:rPr>
      </w:pPr>
      <w:r>
        <w:rPr>
          <w:rFonts w:hint="default"/>
          <w:lang w:val="en-US" w:eastAsia="zh-CN"/>
        </w:rPr>
        <w:t xml:space="preserve">d）近三个会计年度财务报表及审计报告；  </w:t>
      </w:r>
    </w:p>
    <w:p w14:paraId="51392FE3">
      <w:pPr>
        <w:pStyle w:val="35"/>
        <w:ind w:left="0" w:leftChars="0" w:firstLine="420" w:firstLineChars="200"/>
        <w:rPr>
          <w:rFonts w:hint="default"/>
          <w:lang w:val="en-US" w:eastAsia="zh-CN"/>
        </w:rPr>
      </w:pPr>
      <w:r>
        <w:rPr>
          <w:rFonts w:hint="default"/>
          <w:lang w:val="en-US" w:eastAsia="zh-CN"/>
        </w:rPr>
        <w:t xml:space="preserve">e）内部管理制度汇编（包括拍卖业务规则、财务管理制度、档案管理制度、安全生产管理制度、信息披露制度、风险防控制度等）及执行记录；  </w:t>
      </w:r>
    </w:p>
    <w:p w14:paraId="64960EF6">
      <w:pPr>
        <w:pStyle w:val="35"/>
        <w:ind w:left="0" w:leftChars="0" w:firstLine="420" w:firstLineChars="200"/>
        <w:rPr>
          <w:rFonts w:hint="default"/>
          <w:lang w:val="en-US" w:eastAsia="zh-CN"/>
        </w:rPr>
      </w:pPr>
      <w:r>
        <w:rPr>
          <w:rFonts w:hint="default"/>
          <w:lang w:val="en-US" w:eastAsia="zh-CN"/>
        </w:rPr>
        <w:t xml:space="preserve">f）近三年的拍卖成交记录、拍卖笔录、成交确认书样本、委托拍卖合同样本；  </w:t>
      </w:r>
    </w:p>
    <w:p w14:paraId="54F4E287">
      <w:pPr>
        <w:pStyle w:val="35"/>
        <w:ind w:left="0" w:leftChars="0" w:firstLine="420" w:firstLineChars="200"/>
        <w:rPr>
          <w:rFonts w:hint="default"/>
          <w:lang w:val="en-US" w:eastAsia="zh-CN"/>
        </w:rPr>
      </w:pPr>
      <w:r>
        <w:rPr>
          <w:rFonts w:hint="default"/>
          <w:lang w:val="en-US" w:eastAsia="zh-CN"/>
        </w:rPr>
        <w:t xml:space="preserve">g）经营场所产权证明或租赁合同、拍卖设施设备清单及照片、网络拍卖平台运营证明（如涉及）；  </w:t>
      </w:r>
    </w:p>
    <w:p w14:paraId="0B545AA3">
      <w:pPr>
        <w:pStyle w:val="35"/>
        <w:ind w:left="0" w:leftChars="0" w:firstLine="420" w:firstLineChars="200"/>
        <w:rPr>
          <w:rFonts w:hint="default"/>
          <w:lang w:val="en-US" w:eastAsia="zh-CN"/>
        </w:rPr>
      </w:pPr>
      <w:r>
        <w:rPr>
          <w:rFonts w:hint="default"/>
          <w:lang w:val="en-US" w:eastAsia="zh-CN"/>
        </w:rPr>
        <w:t xml:space="preserve">h）企业获得的荣誉表彰、体系认证、专利、标准编制、论文著作等证明材料；  </w:t>
      </w:r>
    </w:p>
    <w:p w14:paraId="6D57D19D">
      <w:pPr>
        <w:pStyle w:val="35"/>
        <w:ind w:left="0" w:leftChars="0" w:firstLine="420" w:firstLineChars="200"/>
        <w:rPr>
          <w:rFonts w:hint="default"/>
          <w:lang w:val="en-US" w:eastAsia="zh-CN"/>
        </w:rPr>
      </w:pPr>
      <w:r>
        <w:rPr>
          <w:rFonts w:hint="default"/>
          <w:lang w:val="en-US" w:eastAsia="zh-CN"/>
        </w:rPr>
        <w:t xml:space="preserve">i）近三年内无重大违法违规、无重大安全事故、无恶意拖欠行为的承诺书；  </w:t>
      </w:r>
    </w:p>
    <w:p w14:paraId="21325B22">
      <w:pPr>
        <w:pStyle w:val="35"/>
        <w:ind w:left="0" w:leftChars="0" w:firstLine="420" w:firstLineChars="200"/>
        <w:rPr>
          <w:rFonts w:hint="default"/>
          <w:lang w:val="en-US" w:eastAsia="zh-CN"/>
        </w:rPr>
      </w:pPr>
      <w:r>
        <w:rPr>
          <w:rFonts w:hint="default"/>
          <w:lang w:val="en-US" w:eastAsia="zh-CN"/>
        </w:rPr>
        <w:t>j）其他评价所需材料。</w:t>
      </w:r>
    </w:p>
    <w:p w14:paraId="0AFF22C1">
      <w:pPr>
        <w:pStyle w:val="41"/>
        <w:numPr>
          <w:ilvl w:val="2"/>
          <w:numId w:val="0"/>
        </w:numPr>
        <w:spacing w:before="120" w:after="120"/>
        <w:ind w:leftChars="0"/>
        <w:rPr>
          <w:rFonts w:hint="default"/>
          <w:lang w:val="en-US" w:eastAsia="zh-CN"/>
        </w:rPr>
      </w:pPr>
      <w:r>
        <w:rPr>
          <w:rFonts w:hint="eastAsia"/>
          <w:lang w:val="en-US" w:eastAsia="zh-CN"/>
        </w:rPr>
        <w:t>9</w:t>
      </w:r>
      <w:r>
        <w:rPr>
          <w:rFonts w:hint="default"/>
          <w:lang w:val="en-US" w:eastAsia="zh-CN"/>
        </w:rPr>
        <w:t>.</w:t>
      </w:r>
      <w:r>
        <w:rPr>
          <w:rFonts w:hint="eastAsia"/>
          <w:lang w:val="en-US" w:eastAsia="zh-CN"/>
        </w:rPr>
        <w:t xml:space="preserve">3  </w:t>
      </w:r>
      <w:r>
        <w:rPr>
          <w:rFonts w:hint="default"/>
          <w:lang w:val="en-US" w:eastAsia="zh-CN"/>
        </w:rPr>
        <w:t>受理与初审</w:t>
      </w:r>
    </w:p>
    <w:p w14:paraId="635DA61F">
      <w:pPr>
        <w:pStyle w:val="35"/>
        <w:ind w:left="0" w:leftChars="0" w:firstLine="0" w:firstLineChars="0"/>
        <w:rPr>
          <w:rFonts w:hint="default"/>
          <w:lang w:val="en-US" w:eastAsia="zh-CN"/>
        </w:rPr>
      </w:pPr>
      <w:r>
        <w:rPr>
          <w:rFonts w:hint="eastAsia" w:ascii="黑体" w:eastAsia="黑体" w:cs="Times New Roman"/>
          <w:sz w:val="21"/>
          <w:lang w:val="en-US" w:eastAsia="zh-CN" w:bidi="ar-SA"/>
        </w:rPr>
        <w:t>9</w:t>
      </w:r>
      <w:r>
        <w:rPr>
          <w:rFonts w:hint="default" w:ascii="黑体" w:hAnsi="Times New Roman" w:eastAsia="黑体" w:cs="Times New Roman"/>
          <w:sz w:val="21"/>
          <w:lang w:val="en-US" w:eastAsia="zh-CN" w:bidi="ar-SA"/>
        </w:rPr>
        <w:t>.</w:t>
      </w:r>
      <w:r>
        <w:rPr>
          <w:rFonts w:hint="eastAsia" w:ascii="黑体" w:eastAsia="黑体" w:cs="Times New Roman"/>
          <w:sz w:val="21"/>
          <w:lang w:val="en-US" w:eastAsia="zh-CN" w:bidi="ar-SA"/>
        </w:rPr>
        <w:t>3</w:t>
      </w:r>
      <w:r>
        <w:rPr>
          <w:rFonts w:hint="default" w:ascii="黑体" w:hAnsi="Times New Roman" w:eastAsia="黑体" w:cs="Times New Roman"/>
          <w:sz w:val="21"/>
          <w:lang w:val="en-US" w:eastAsia="zh-CN" w:bidi="ar-SA"/>
        </w:rPr>
        <w:t>.1</w:t>
      </w:r>
      <w:r>
        <w:rPr>
          <w:rFonts w:hint="eastAsia" w:ascii="黑体" w:eastAsia="黑体" w:cs="Times New Roman"/>
          <w:sz w:val="21"/>
          <w:lang w:val="en-US" w:eastAsia="zh-CN" w:bidi="ar-SA"/>
        </w:rPr>
        <w:t xml:space="preserve">  </w:t>
      </w:r>
      <w:r>
        <w:rPr>
          <w:rFonts w:hint="default"/>
          <w:lang w:val="en-US" w:eastAsia="zh-CN"/>
        </w:rPr>
        <w:t>评价机构应在收到申报材料后5个工作日内完成形式审查，确认材料是否齐全、格式是否规范</w:t>
      </w:r>
      <w:r>
        <w:rPr>
          <w:rFonts w:hint="eastAsia"/>
          <w:lang w:val="en-US" w:eastAsia="zh-CN"/>
        </w:rPr>
        <w:t>，</w:t>
      </w:r>
      <w:r>
        <w:rPr>
          <w:rFonts w:hint="default"/>
          <w:lang w:val="en-US" w:eastAsia="zh-CN"/>
        </w:rPr>
        <w:t>材料不齐全的，应一次性告知企业补正。</w:t>
      </w:r>
    </w:p>
    <w:p w14:paraId="047C001E">
      <w:pPr>
        <w:pStyle w:val="35"/>
        <w:ind w:left="0" w:leftChars="0" w:firstLine="0" w:firstLineChars="0"/>
        <w:rPr>
          <w:rFonts w:hint="default"/>
          <w:lang w:val="en-US" w:eastAsia="zh-CN"/>
        </w:rPr>
      </w:pPr>
      <w:r>
        <w:rPr>
          <w:rFonts w:hint="eastAsia" w:ascii="黑体" w:eastAsia="黑体" w:cs="Times New Roman"/>
          <w:sz w:val="21"/>
          <w:lang w:val="en-US" w:eastAsia="zh-CN" w:bidi="ar-SA"/>
        </w:rPr>
        <w:t>9</w:t>
      </w:r>
      <w:r>
        <w:rPr>
          <w:rFonts w:hint="default" w:ascii="黑体" w:hAnsi="Times New Roman" w:eastAsia="黑体" w:cs="Times New Roman"/>
          <w:sz w:val="21"/>
          <w:lang w:val="en-US" w:eastAsia="zh-CN" w:bidi="ar-SA"/>
        </w:rPr>
        <w:t>.</w:t>
      </w:r>
      <w:r>
        <w:rPr>
          <w:rFonts w:hint="eastAsia" w:ascii="黑体" w:eastAsia="黑体" w:cs="Times New Roman"/>
          <w:sz w:val="21"/>
          <w:lang w:val="en-US" w:eastAsia="zh-CN" w:bidi="ar-SA"/>
        </w:rPr>
        <w:t>3</w:t>
      </w:r>
      <w:r>
        <w:rPr>
          <w:rFonts w:hint="default" w:ascii="黑体" w:hAnsi="Times New Roman" w:eastAsia="黑体" w:cs="Times New Roman"/>
          <w:sz w:val="21"/>
          <w:lang w:val="en-US" w:eastAsia="zh-CN" w:bidi="ar-SA"/>
        </w:rPr>
        <w:t xml:space="preserve">.2 </w:t>
      </w:r>
      <w:r>
        <w:rPr>
          <w:rFonts w:hint="eastAsia" w:ascii="黑体" w:eastAsia="黑体" w:cs="Times New Roman"/>
          <w:sz w:val="21"/>
          <w:lang w:val="en-US" w:eastAsia="zh-CN" w:bidi="ar-SA"/>
        </w:rPr>
        <w:t xml:space="preserve"> </w:t>
      </w:r>
      <w:r>
        <w:rPr>
          <w:rFonts w:hint="default"/>
          <w:lang w:val="en-US" w:eastAsia="zh-CN"/>
        </w:rPr>
        <w:t>评价机构应对参评企业提交的资料完整性和真实性进行初步审核，重点核查企业是否符合5.2规定的参评条件，是否存在6.</w:t>
      </w:r>
      <w:r>
        <w:rPr>
          <w:rFonts w:hint="eastAsia"/>
          <w:lang w:val="en-US" w:eastAsia="zh-CN"/>
        </w:rPr>
        <w:t>8</w:t>
      </w:r>
      <w:r>
        <w:rPr>
          <w:rFonts w:hint="default"/>
          <w:lang w:val="en-US" w:eastAsia="zh-CN"/>
        </w:rPr>
        <w:t xml:space="preserve">规定的一票否决情形。  </w:t>
      </w:r>
    </w:p>
    <w:p w14:paraId="3F0D06C4">
      <w:pPr>
        <w:pStyle w:val="35"/>
        <w:ind w:left="0" w:leftChars="0" w:firstLine="0" w:firstLineChars="0"/>
        <w:rPr>
          <w:rFonts w:hint="default"/>
          <w:lang w:val="en-US" w:eastAsia="zh-CN"/>
        </w:rPr>
      </w:pPr>
      <w:r>
        <w:rPr>
          <w:rFonts w:hint="eastAsia" w:ascii="黑体" w:eastAsia="黑体" w:cs="Times New Roman"/>
          <w:sz w:val="21"/>
          <w:lang w:val="en-US" w:eastAsia="zh-CN" w:bidi="ar-SA"/>
        </w:rPr>
        <w:t>9</w:t>
      </w:r>
      <w:r>
        <w:rPr>
          <w:rFonts w:hint="default" w:ascii="黑体" w:hAnsi="Times New Roman" w:eastAsia="黑体" w:cs="Times New Roman"/>
          <w:sz w:val="21"/>
          <w:lang w:val="en-US" w:eastAsia="zh-CN" w:bidi="ar-SA"/>
        </w:rPr>
        <w:t>.</w:t>
      </w:r>
      <w:r>
        <w:rPr>
          <w:rFonts w:hint="eastAsia" w:ascii="黑体" w:eastAsia="黑体" w:cs="Times New Roman"/>
          <w:sz w:val="21"/>
          <w:lang w:val="en-US" w:eastAsia="zh-CN" w:bidi="ar-SA"/>
        </w:rPr>
        <w:t>3</w:t>
      </w:r>
      <w:r>
        <w:rPr>
          <w:rFonts w:hint="default" w:ascii="黑体" w:hAnsi="Times New Roman" w:eastAsia="黑体" w:cs="Times New Roman"/>
          <w:sz w:val="21"/>
          <w:lang w:val="en-US" w:eastAsia="zh-CN" w:bidi="ar-SA"/>
        </w:rPr>
        <w:t>.3</w:t>
      </w:r>
      <w:r>
        <w:rPr>
          <w:rFonts w:hint="default"/>
          <w:lang w:val="en-US" w:eastAsia="zh-CN"/>
        </w:rPr>
        <w:t xml:space="preserve"> </w:t>
      </w:r>
      <w:r>
        <w:rPr>
          <w:rFonts w:hint="eastAsia"/>
          <w:lang w:val="en-US" w:eastAsia="zh-CN"/>
        </w:rPr>
        <w:t xml:space="preserve"> </w:t>
      </w:r>
      <w:r>
        <w:rPr>
          <w:rFonts w:hint="default"/>
          <w:lang w:val="en-US" w:eastAsia="zh-CN"/>
        </w:rPr>
        <w:t>初审合格的企业，评价机构应予以受理并通知企业；初审不合格的，应书面说明理由并退回申请材料</w:t>
      </w:r>
      <w:r>
        <w:rPr>
          <w:rFonts w:hint="eastAsia"/>
          <w:lang w:val="en-US" w:eastAsia="zh-CN"/>
        </w:rPr>
        <w:t xml:space="preserve">。  </w:t>
      </w:r>
    </w:p>
    <w:p w14:paraId="78F80D46">
      <w:pPr>
        <w:pStyle w:val="41"/>
        <w:numPr>
          <w:ilvl w:val="2"/>
          <w:numId w:val="0"/>
        </w:numPr>
        <w:spacing w:before="120" w:after="120"/>
        <w:ind w:leftChars="0"/>
        <w:rPr>
          <w:rFonts w:hint="default"/>
          <w:lang w:val="en-US" w:eastAsia="zh-CN"/>
        </w:rPr>
      </w:pPr>
      <w:r>
        <w:rPr>
          <w:rFonts w:hint="eastAsia"/>
          <w:lang w:val="en-US" w:eastAsia="zh-CN"/>
        </w:rPr>
        <w:t>9</w:t>
      </w:r>
      <w:r>
        <w:rPr>
          <w:rFonts w:hint="default"/>
          <w:lang w:val="en-US" w:eastAsia="zh-CN"/>
        </w:rPr>
        <w:t>.</w:t>
      </w:r>
      <w:r>
        <w:rPr>
          <w:rFonts w:hint="eastAsia"/>
          <w:lang w:val="en-US" w:eastAsia="zh-CN"/>
        </w:rPr>
        <w:t xml:space="preserve">4  </w:t>
      </w:r>
      <w:r>
        <w:rPr>
          <w:rFonts w:hint="default"/>
          <w:lang w:val="en-US" w:eastAsia="zh-CN"/>
        </w:rPr>
        <w:t>评价</w:t>
      </w:r>
    </w:p>
    <w:p w14:paraId="63CE2435">
      <w:pPr>
        <w:pStyle w:val="35"/>
        <w:ind w:left="0" w:leftChars="0" w:firstLine="0" w:firstLineChars="0"/>
        <w:rPr>
          <w:rFonts w:hint="default" w:ascii="黑体" w:hAnsi="Times New Roman" w:eastAsia="黑体" w:cs="Times New Roman"/>
          <w:sz w:val="21"/>
          <w:lang w:val="en-US" w:eastAsia="zh-CN" w:bidi="ar-SA"/>
        </w:rPr>
      </w:pPr>
      <w:r>
        <w:rPr>
          <w:rFonts w:hint="eastAsia" w:ascii="黑体" w:eastAsia="黑体" w:cs="Times New Roman"/>
          <w:sz w:val="21"/>
          <w:lang w:val="en-US" w:eastAsia="zh-CN" w:bidi="ar-SA"/>
        </w:rPr>
        <w:t>9</w:t>
      </w:r>
      <w:r>
        <w:rPr>
          <w:rFonts w:hint="default" w:ascii="黑体" w:hAnsi="Times New Roman" w:eastAsia="黑体" w:cs="Times New Roman"/>
          <w:sz w:val="21"/>
          <w:lang w:val="en-US" w:eastAsia="zh-CN" w:bidi="ar-SA"/>
        </w:rPr>
        <w:t>.</w:t>
      </w:r>
      <w:r>
        <w:rPr>
          <w:rFonts w:hint="eastAsia" w:ascii="黑体" w:eastAsia="黑体" w:cs="Times New Roman"/>
          <w:sz w:val="21"/>
          <w:lang w:val="en-US" w:eastAsia="zh-CN" w:bidi="ar-SA"/>
        </w:rPr>
        <w:t>4</w:t>
      </w:r>
      <w:r>
        <w:rPr>
          <w:rFonts w:hint="default" w:ascii="黑体" w:hAnsi="Times New Roman" w:eastAsia="黑体" w:cs="Times New Roman"/>
          <w:sz w:val="21"/>
          <w:lang w:val="en-US" w:eastAsia="zh-CN" w:bidi="ar-SA"/>
        </w:rPr>
        <w:t xml:space="preserve">.1 </w:t>
      </w:r>
      <w:r>
        <w:rPr>
          <w:rFonts w:hint="eastAsia" w:ascii="黑体" w:eastAsia="黑体" w:cs="Times New Roman"/>
          <w:sz w:val="21"/>
          <w:lang w:val="en-US" w:eastAsia="zh-CN" w:bidi="ar-SA"/>
        </w:rPr>
        <w:t xml:space="preserve"> </w:t>
      </w:r>
      <w:r>
        <w:rPr>
          <w:rFonts w:hint="default"/>
          <w:lang w:val="en-US" w:eastAsia="zh-CN"/>
        </w:rPr>
        <w:t>资料评审：评价小组应对企业申报材料进行详细评审，依据附录</w:t>
      </w:r>
      <w:r>
        <w:rPr>
          <w:rFonts w:hint="eastAsia"/>
          <w:lang w:val="en-US" w:eastAsia="zh-CN"/>
        </w:rPr>
        <w:t>A</w:t>
      </w:r>
      <w:r>
        <w:rPr>
          <w:rFonts w:hint="default"/>
          <w:lang w:val="en-US" w:eastAsia="zh-CN"/>
        </w:rPr>
        <w:t>评分细则逐项评分，必要时要求企业补充说明或提供佐证材料</w:t>
      </w:r>
      <w:r>
        <w:rPr>
          <w:rFonts w:hint="eastAsia"/>
          <w:lang w:val="en-US" w:eastAsia="zh-CN"/>
        </w:rPr>
        <w:t xml:space="preserve">。  </w:t>
      </w:r>
    </w:p>
    <w:p w14:paraId="0388C3F7">
      <w:pPr>
        <w:pStyle w:val="35"/>
        <w:ind w:left="0" w:leftChars="0" w:firstLine="0" w:firstLineChars="0"/>
        <w:rPr>
          <w:rFonts w:hint="default"/>
          <w:lang w:val="en-US" w:eastAsia="zh-CN"/>
        </w:rPr>
      </w:pPr>
      <w:r>
        <w:rPr>
          <w:rFonts w:hint="eastAsia" w:ascii="黑体" w:eastAsia="黑体" w:cs="Times New Roman"/>
          <w:sz w:val="21"/>
          <w:lang w:val="en-US" w:eastAsia="zh-CN" w:bidi="ar-SA"/>
        </w:rPr>
        <w:t>9</w:t>
      </w:r>
      <w:r>
        <w:rPr>
          <w:rFonts w:hint="default" w:ascii="黑体" w:hAnsi="Times New Roman" w:eastAsia="黑体" w:cs="Times New Roman"/>
          <w:sz w:val="21"/>
          <w:lang w:val="en-US" w:eastAsia="zh-CN" w:bidi="ar-SA"/>
        </w:rPr>
        <w:t>.</w:t>
      </w:r>
      <w:r>
        <w:rPr>
          <w:rFonts w:hint="eastAsia" w:ascii="黑体" w:eastAsia="黑体" w:cs="Times New Roman"/>
          <w:sz w:val="21"/>
          <w:lang w:val="en-US" w:eastAsia="zh-CN" w:bidi="ar-SA"/>
        </w:rPr>
        <w:t>4</w:t>
      </w:r>
      <w:r>
        <w:rPr>
          <w:rFonts w:hint="default" w:ascii="黑体" w:hAnsi="Times New Roman" w:eastAsia="黑体" w:cs="Times New Roman"/>
          <w:sz w:val="21"/>
          <w:lang w:val="en-US" w:eastAsia="zh-CN" w:bidi="ar-SA"/>
        </w:rPr>
        <w:t xml:space="preserve">.2 </w:t>
      </w:r>
      <w:r>
        <w:rPr>
          <w:rFonts w:hint="eastAsia" w:ascii="黑体" w:eastAsia="黑体" w:cs="Times New Roman"/>
          <w:sz w:val="21"/>
          <w:lang w:val="en-US" w:eastAsia="zh-CN" w:bidi="ar-SA"/>
        </w:rPr>
        <w:t xml:space="preserve"> </w:t>
      </w:r>
      <w:r>
        <w:rPr>
          <w:rFonts w:hint="default"/>
          <w:lang w:val="en-US" w:eastAsia="zh-CN"/>
        </w:rPr>
        <w:t>现场核查：评价小组应对参评企业进行现场核查，重点核查以下内容：</w:t>
      </w:r>
    </w:p>
    <w:p w14:paraId="34F123AB">
      <w:pPr>
        <w:pStyle w:val="35"/>
        <w:ind w:left="0" w:leftChars="0" w:firstLine="420" w:firstLineChars="200"/>
        <w:rPr>
          <w:rFonts w:hint="default"/>
          <w:lang w:val="en-US" w:eastAsia="zh-CN"/>
        </w:rPr>
      </w:pPr>
      <w:r>
        <w:rPr>
          <w:rFonts w:hint="default"/>
          <w:lang w:val="en-US" w:eastAsia="zh-CN"/>
        </w:rPr>
        <w:t xml:space="preserve">a）拍卖经营场所的真实性、合规性及功能完备性；  </w:t>
      </w:r>
    </w:p>
    <w:p w14:paraId="39E019B1">
      <w:pPr>
        <w:pStyle w:val="35"/>
        <w:ind w:left="0" w:leftChars="0" w:firstLine="420" w:firstLineChars="200"/>
        <w:rPr>
          <w:rFonts w:hint="default"/>
          <w:lang w:val="en-US" w:eastAsia="zh-CN"/>
        </w:rPr>
      </w:pPr>
      <w:r>
        <w:rPr>
          <w:rFonts w:hint="default"/>
          <w:lang w:val="en-US" w:eastAsia="zh-CN"/>
        </w:rPr>
        <w:t xml:space="preserve">b）拍卖设施设备的实际配置及运行状态；  </w:t>
      </w:r>
    </w:p>
    <w:p w14:paraId="14524F90">
      <w:pPr>
        <w:pStyle w:val="35"/>
        <w:ind w:left="0" w:leftChars="0" w:firstLine="420" w:firstLineChars="200"/>
        <w:rPr>
          <w:rFonts w:hint="default"/>
          <w:lang w:val="en-US" w:eastAsia="zh-CN"/>
        </w:rPr>
      </w:pPr>
      <w:r>
        <w:rPr>
          <w:rFonts w:hint="default"/>
          <w:lang w:val="en-US" w:eastAsia="zh-CN"/>
        </w:rPr>
        <w:t xml:space="preserve">c）档案管理情况及拍卖档案的完整性、规范性；  </w:t>
      </w:r>
    </w:p>
    <w:p w14:paraId="295B8832">
      <w:pPr>
        <w:pStyle w:val="35"/>
        <w:ind w:left="0" w:leftChars="0" w:firstLine="420" w:firstLineChars="200"/>
        <w:rPr>
          <w:rFonts w:hint="default"/>
          <w:lang w:val="en-US" w:eastAsia="zh-CN"/>
        </w:rPr>
      </w:pPr>
      <w:r>
        <w:rPr>
          <w:rFonts w:hint="default"/>
          <w:lang w:val="en-US" w:eastAsia="zh-CN"/>
        </w:rPr>
        <w:t xml:space="preserve">d）网络拍卖平台的实际运营情况及数据安全管理措施；  </w:t>
      </w:r>
    </w:p>
    <w:p w14:paraId="1DDDEA23">
      <w:pPr>
        <w:pStyle w:val="35"/>
        <w:ind w:left="0" w:leftChars="0" w:firstLine="420" w:firstLineChars="200"/>
        <w:rPr>
          <w:rFonts w:hint="default"/>
          <w:lang w:val="en-US" w:eastAsia="zh-CN"/>
        </w:rPr>
      </w:pPr>
      <w:r>
        <w:rPr>
          <w:rFonts w:hint="default"/>
          <w:lang w:val="en-US" w:eastAsia="zh-CN"/>
        </w:rPr>
        <w:t xml:space="preserve">e）财务账册、银行流水与申报资料的一致性；  </w:t>
      </w:r>
    </w:p>
    <w:p w14:paraId="615EB84D">
      <w:pPr>
        <w:pStyle w:val="35"/>
        <w:ind w:left="0" w:leftChars="0" w:firstLine="420" w:firstLineChars="200"/>
        <w:rPr>
          <w:rFonts w:hint="default"/>
          <w:lang w:val="en-US" w:eastAsia="zh-CN"/>
        </w:rPr>
      </w:pPr>
      <w:r>
        <w:rPr>
          <w:rFonts w:hint="default"/>
          <w:lang w:val="en-US" w:eastAsia="zh-CN"/>
        </w:rPr>
        <w:t>f）拍卖业务的真实性，随机抽查拍卖笔录、成交确认书、委托合同等。</w:t>
      </w:r>
    </w:p>
    <w:p w14:paraId="79C53922">
      <w:pPr>
        <w:pStyle w:val="35"/>
        <w:ind w:left="0" w:leftChars="0" w:firstLine="0" w:firstLineChars="0"/>
        <w:rPr>
          <w:rFonts w:hint="default"/>
          <w:lang w:val="en-US" w:eastAsia="zh-CN"/>
        </w:rPr>
      </w:pPr>
      <w:r>
        <w:rPr>
          <w:rFonts w:hint="eastAsia" w:ascii="黑体" w:eastAsia="黑体" w:cs="Times New Roman"/>
          <w:sz w:val="21"/>
          <w:lang w:val="en-US" w:eastAsia="zh-CN" w:bidi="ar-SA"/>
        </w:rPr>
        <w:t>9</w:t>
      </w:r>
      <w:r>
        <w:rPr>
          <w:rFonts w:hint="default" w:ascii="黑体" w:hAnsi="Times New Roman" w:eastAsia="黑体" w:cs="Times New Roman"/>
          <w:sz w:val="21"/>
          <w:lang w:val="en-US" w:eastAsia="zh-CN" w:bidi="ar-SA"/>
        </w:rPr>
        <w:t>.</w:t>
      </w:r>
      <w:r>
        <w:rPr>
          <w:rFonts w:hint="eastAsia" w:ascii="黑体" w:eastAsia="黑体" w:cs="Times New Roman"/>
          <w:sz w:val="21"/>
          <w:lang w:val="en-US" w:eastAsia="zh-CN" w:bidi="ar-SA"/>
        </w:rPr>
        <w:t>4</w:t>
      </w:r>
      <w:r>
        <w:rPr>
          <w:rFonts w:hint="default" w:ascii="黑体" w:hAnsi="Times New Roman" w:eastAsia="黑体" w:cs="Times New Roman"/>
          <w:sz w:val="21"/>
          <w:lang w:val="en-US" w:eastAsia="zh-CN" w:bidi="ar-SA"/>
        </w:rPr>
        <w:t>.</w:t>
      </w:r>
      <w:r>
        <w:rPr>
          <w:rFonts w:hint="eastAsia" w:ascii="黑体" w:eastAsia="黑体" w:cs="Times New Roman"/>
          <w:sz w:val="21"/>
          <w:lang w:val="en-US" w:eastAsia="zh-CN" w:bidi="ar-SA"/>
        </w:rPr>
        <w:t>3</w:t>
      </w:r>
      <w:r>
        <w:rPr>
          <w:rFonts w:hint="default" w:ascii="黑体" w:hAnsi="Times New Roman" w:eastAsia="黑体" w:cs="Times New Roman"/>
          <w:sz w:val="21"/>
          <w:lang w:val="en-US" w:eastAsia="zh-CN" w:bidi="ar-SA"/>
        </w:rPr>
        <w:t xml:space="preserve"> </w:t>
      </w:r>
      <w:r>
        <w:rPr>
          <w:rFonts w:hint="eastAsia" w:ascii="黑体" w:eastAsia="黑体" w:cs="Times New Roman"/>
          <w:sz w:val="21"/>
          <w:lang w:val="en-US" w:eastAsia="zh-CN" w:bidi="ar-SA"/>
        </w:rPr>
        <w:t xml:space="preserve"> </w:t>
      </w:r>
      <w:r>
        <w:rPr>
          <w:rFonts w:hint="default"/>
          <w:lang w:val="en-US" w:eastAsia="zh-CN"/>
        </w:rPr>
        <w:t>外部信息核实：评价小组应通过以下途径核实企业外部信用信息：</w:t>
      </w:r>
    </w:p>
    <w:p w14:paraId="2CC4CC29">
      <w:pPr>
        <w:pStyle w:val="35"/>
        <w:ind w:left="0" w:leftChars="0" w:firstLine="420" w:firstLineChars="200"/>
        <w:rPr>
          <w:rFonts w:hint="default"/>
          <w:lang w:val="en-US" w:eastAsia="zh-CN"/>
        </w:rPr>
      </w:pPr>
      <w:r>
        <w:rPr>
          <w:rFonts w:hint="default"/>
          <w:lang w:val="en-US" w:eastAsia="zh-CN"/>
        </w:rPr>
        <w:t xml:space="preserve">a）查询国家企业信用信息公示系统、信用中国、中国执行信息公开网等官方平台；  </w:t>
      </w:r>
    </w:p>
    <w:p w14:paraId="363C5D79">
      <w:pPr>
        <w:pStyle w:val="35"/>
        <w:ind w:left="0" w:leftChars="0" w:firstLine="420" w:firstLineChars="200"/>
        <w:rPr>
          <w:rFonts w:hint="default"/>
          <w:lang w:val="en-US" w:eastAsia="zh-CN"/>
        </w:rPr>
      </w:pPr>
      <w:r>
        <w:rPr>
          <w:rFonts w:hint="default"/>
          <w:lang w:val="en-US" w:eastAsia="zh-CN"/>
        </w:rPr>
        <w:t xml:space="preserve">b）向税务、市场监管、商务、文物等主管部门核实行政监管记录；  </w:t>
      </w:r>
    </w:p>
    <w:p w14:paraId="1D9AEB0F">
      <w:pPr>
        <w:pStyle w:val="35"/>
        <w:ind w:left="0" w:leftChars="0" w:firstLine="420" w:firstLineChars="200"/>
        <w:rPr>
          <w:rFonts w:hint="default"/>
          <w:lang w:val="en-US" w:eastAsia="zh-CN"/>
        </w:rPr>
      </w:pPr>
      <w:r>
        <w:rPr>
          <w:rFonts w:hint="default"/>
          <w:lang w:val="en-US" w:eastAsia="zh-CN"/>
        </w:rPr>
        <w:t>c）</w:t>
      </w:r>
      <w:r>
        <w:rPr>
          <w:rFonts w:hint="eastAsia"/>
          <w:lang w:val="en-US" w:eastAsia="zh-CN"/>
        </w:rPr>
        <w:t>本</w:t>
      </w:r>
      <w:r>
        <w:rPr>
          <w:rFonts w:hint="default"/>
          <w:lang w:val="en-US" w:eastAsia="zh-CN"/>
        </w:rPr>
        <w:t xml:space="preserve">协会核实会员资格、自律记录及行业表彰情况；  </w:t>
      </w:r>
    </w:p>
    <w:p w14:paraId="68CC0C93">
      <w:pPr>
        <w:pStyle w:val="35"/>
        <w:ind w:left="0" w:leftChars="0" w:firstLine="420" w:firstLineChars="200"/>
        <w:rPr>
          <w:rFonts w:hint="default"/>
          <w:lang w:val="en-US" w:eastAsia="zh-CN"/>
        </w:rPr>
      </w:pPr>
      <w:r>
        <w:rPr>
          <w:rFonts w:hint="default"/>
          <w:lang w:val="en-US" w:eastAsia="zh-CN"/>
        </w:rPr>
        <w:t>d）通过问卷调查、电话回访等方式了解委托人及竞买人满意度。</w:t>
      </w:r>
    </w:p>
    <w:p w14:paraId="0E558ED1">
      <w:pPr>
        <w:pStyle w:val="35"/>
        <w:ind w:left="0" w:leftChars="0" w:firstLine="0" w:firstLineChars="0"/>
        <w:rPr>
          <w:rFonts w:hint="default"/>
          <w:lang w:val="en-US" w:eastAsia="zh-CN"/>
        </w:rPr>
      </w:pPr>
      <w:r>
        <w:rPr>
          <w:rFonts w:hint="eastAsia" w:ascii="黑体" w:eastAsia="黑体" w:cs="Times New Roman"/>
          <w:sz w:val="21"/>
          <w:lang w:val="en-US" w:eastAsia="zh-CN" w:bidi="ar-SA"/>
        </w:rPr>
        <w:t xml:space="preserve">9.4.4 </w:t>
      </w:r>
      <w:r>
        <w:rPr>
          <w:rFonts w:hint="eastAsia"/>
          <w:lang w:val="en-US" w:eastAsia="zh-CN"/>
        </w:rPr>
        <w:t xml:space="preserve"> </w:t>
      </w:r>
      <w:r>
        <w:rPr>
          <w:rFonts w:hint="default"/>
          <w:lang w:val="en-US" w:eastAsia="zh-CN"/>
        </w:rPr>
        <w:t>外部信息采集应当遵循公共信用信息采集合规要求，不得非法采集非公开企业、个人信息；对于企业非公开商业信息采集应当取得企业授权，落实《</w:t>
      </w:r>
      <w:r>
        <w:rPr>
          <w:rFonts w:hint="eastAsia"/>
          <w:lang w:val="en-US" w:eastAsia="zh-CN"/>
        </w:rPr>
        <w:t>中华人民共和国</w:t>
      </w:r>
      <w:r>
        <w:rPr>
          <w:rFonts w:hint="default"/>
          <w:lang w:val="en-US" w:eastAsia="zh-CN"/>
        </w:rPr>
        <w:t>个人信息保护法》《湖南省社会信用信息管理办法》</w:t>
      </w:r>
      <w:r>
        <w:rPr>
          <w:rFonts w:hint="eastAsia"/>
          <w:lang w:val="en-US" w:eastAsia="zh-CN"/>
        </w:rPr>
        <w:t>等</w:t>
      </w:r>
      <w:r>
        <w:rPr>
          <w:rFonts w:hint="default"/>
          <w:lang w:val="en-US" w:eastAsia="zh-CN"/>
        </w:rPr>
        <w:t>合规要求。</w:t>
      </w:r>
    </w:p>
    <w:p w14:paraId="5F73102B">
      <w:pPr>
        <w:pStyle w:val="35"/>
        <w:ind w:left="0" w:leftChars="0" w:firstLine="0" w:firstLineChars="0"/>
        <w:rPr>
          <w:rFonts w:hint="default"/>
          <w:lang w:val="en-US" w:eastAsia="zh-CN"/>
        </w:rPr>
      </w:pPr>
      <w:r>
        <w:rPr>
          <w:rFonts w:hint="eastAsia" w:ascii="黑体" w:eastAsia="黑体" w:cs="Times New Roman"/>
          <w:sz w:val="21"/>
          <w:lang w:val="en-US" w:eastAsia="zh-CN" w:bidi="ar-SA"/>
        </w:rPr>
        <w:t>9</w:t>
      </w:r>
      <w:r>
        <w:rPr>
          <w:rFonts w:hint="default" w:ascii="黑体" w:hAnsi="Times New Roman" w:eastAsia="黑体" w:cs="Times New Roman"/>
          <w:sz w:val="21"/>
          <w:lang w:val="en-US" w:eastAsia="zh-CN" w:bidi="ar-SA"/>
        </w:rPr>
        <w:t>.</w:t>
      </w:r>
      <w:r>
        <w:rPr>
          <w:rFonts w:hint="eastAsia" w:ascii="黑体" w:eastAsia="黑体" w:cs="Times New Roman"/>
          <w:sz w:val="21"/>
          <w:lang w:val="en-US" w:eastAsia="zh-CN" w:bidi="ar-SA"/>
        </w:rPr>
        <w:t>4</w:t>
      </w:r>
      <w:r>
        <w:rPr>
          <w:rFonts w:hint="default" w:ascii="黑体" w:hAnsi="Times New Roman" w:eastAsia="黑体" w:cs="Times New Roman"/>
          <w:sz w:val="21"/>
          <w:lang w:val="en-US" w:eastAsia="zh-CN" w:bidi="ar-SA"/>
        </w:rPr>
        <w:t>.</w:t>
      </w:r>
      <w:r>
        <w:rPr>
          <w:rFonts w:hint="eastAsia" w:ascii="黑体" w:eastAsia="黑体" w:cs="Times New Roman"/>
          <w:sz w:val="21"/>
          <w:lang w:val="en-US" w:eastAsia="zh-CN" w:bidi="ar-SA"/>
        </w:rPr>
        <w:t>5</w:t>
      </w:r>
      <w:r>
        <w:rPr>
          <w:rFonts w:hint="default" w:ascii="黑体" w:hAnsi="Times New Roman" w:eastAsia="黑体" w:cs="Times New Roman"/>
          <w:sz w:val="21"/>
          <w:lang w:val="en-US" w:eastAsia="zh-CN" w:bidi="ar-SA"/>
        </w:rPr>
        <w:t xml:space="preserve"> </w:t>
      </w:r>
      <w:r>
        <w:rPr>
          <w:rFonts w:hint="eastAsia" w:ascii="黑体" w:eastAsia="黑体" w:cs="Times New Roman"/>
          <w:sz w:val="21"/>
          <w:lang w:val="en-US" w:eastAsia="zh-CN" w:bidi="ar-SA"/>
        </w:rPr>
        <w:t xml:space="preserve"> </w:t>
      </w:r>
      <w:r>
        <w:rPr>
          <w:rFonts w:hint="default"/>
          <w:lang w:val="en-US" w:eastAsia="zh-CN"/>
        </w:rPr>
        <w:t>综合评价：评价小组应根据资料评审、现场核查及外部信息核实结果，进行综合评分，</w:t>
      </w:r>
      <w:r>
        <w:rPr>
          <w:rFonts w:hint="eastAsia"/>
          <w:lang w:val="en-US" w:eastAsia="zh-CN"/>
        </w:rPr>
        <w:t>填写拍卖</w:t>
      </w:r>
      <w:r>
        <w:rPr>
          <w:rFonts w:hint="default"/>
          <w:lang w:val="en-US" w:eastAsia="zh-CN"/>
        </w:rPr>
        <w:t>企业信用评价认定审批表</w:t>
      </w:r>
      <w:r>
        <w:rPr>
          <w:rFonts w:hint="eastAsia"/>
          <w:lang w:val="en-US" w:eastAsia="zh-CN"/>
        </w:rPr>
        <w:t>附件C</w:t>
      </w:r>
      <w:r>
        <w:rPr>
          <w:rFonts w:hint="default"/>
          <w:lang w:val="en-US" w:eastAsia="zh-CN"/>
        </w:rPr>
        <w:t>，提出信用等级建议。</w:t>
      </w:r>
    </w:p>
    <w:p w14:paraId="599CA1B6">
      <w:pPr>
        <w:pStyle w:val="41"/>
        <w:numPr>
          <w:ilvl w:val="2"/>
          <w:numId w:val="0"/>
        </w:numPr>
        <w:spacing w:before="120" w:after="120"/>
        <w:ind w:leftChars="0"/>
        <w:rPr>
          <w:rFonts w:hint="default"/>
          <w:lang w:val="en-US" w:eastAsia="zh-CN"/>
        </w:rPr>
      </w:pPr>
      <w:r>
        <w:rPr>
          <w:rFonts w:hint="eastAsia"/>
          <w:lang w:val="en-US" w:eastAsia="zh-CN"/>
        </w:rPr>
        <w:t>9</w:t>
      </w:r>
      <w:r>
        <w:rPr>
          <w:rFonts w:hint="default"/>
          <w:lang w:val="en-US" w:eastAsia="zh-CN"/>
        </w:rPr>
        <w:t>.</w:t>
      </w:r>
      <w:r>
        <w:rPr>
          <w:rFonts w:hint="eastAsia"/>
          <w:lang w:val="en-US" w:eastAsia="zh-CN"/>
        </w:rPr>
        <w:t xml:space="preserve">5  </w:t>
      </w:r>
      <w:r>
        <w:rPr>
          <w:rFonts w:hint="default"/>
          <w:lang w:val="en-US" w:eastAsia="zh-CN"/>
        </w:rPr>
        <w:t>公示与确认</w:t>
      </w:r>
    </w:p>
    <w:p w14:paraId="0CDCFB77">
      <w:pPr>
        <w:pStyle w:val="35"/>
        <w:ind w:left="0" w:leftChars="0" w:firstLine="0" w:firstLineChars="0"/>
        <w:rPr>
          <w:rFonts w:hint="default" w:ascii="黑体" w:hAnsi="Times New Roman" w:eastAsia="黑体" w:cs="Times New Roman"/>
          <w:sz w:val="21"/>
          <w:lang w:val="en-US" w:eastAsia="zh-CN" w:bidi="ar-SA"/>
        </w:rPr>
      </w:pPr>
      <w:r>
        <w:rPr>
          <w:rFonts w:hint="eastAsia" w:ascii="黑体" w:eastAsia="黑体" w:cs="Times New Roman"/>
          <w:sz w:val="21"/>
          <w:lang w:val="en-US" w:eastAsia="zh-CN" w:bidi="ar-SA"/>
        </w:rPr>
        <w:t>9</w:t>
      </w:r>
      <w:r>
        <w:rPr>
          <w:rFonts w:hint="default" w:ascii="黑体" w:hAnsi="Times New Roman" w:eastAsia="黑体" w:cs="Times New Roman"/>
          <w:sz w:val="21"/>
          <w:lang w:val="en-US" w:eastAsia="zh-CN" w:bidi="ar-SA"/>
        </w:rPr>
        <w:t>.</w:t>
      </w:r>
      <w:r>
        <w:rPr>
          <w:rFonts w:hint="eastAsia" w:ascii="黑体" w:eastAsia="黑体" w:cs="Times New Roman"/>
          <w:sz w:val="21"/>
          <w:lang w:val="en-US" w:eastAsia="zh-CN" w:bidi="ar-SA"/>
        </w:rPr>
        <w:t>5</w:t>
      </w:r>
      <w:r>
        <w:rPr>
          <w:rFonts w:hint="default" w:ascii="黑体" w:hAnsi="Times New Roman" w:eastAsia="黑体" w:cs="Times New Roman"/>
          <w:sz w:val="21"/>
          <w:lang w:val="en-US" w:eastAsia="zh-CN" w:bidi="ar-SA"/>
        </w:rPr>
        <w:t>.1</w:t>
      </w:r>
      <w:r>
        <w:rPr>
          <w:rFonts w:hint="default"/>
          <w:lang w:val="en-US" w:eastAsia="zh-CN"/>
        </w:rPr>
        <w:t xml:space="preserve"> </w:t>
      </w:r>
      <w:r>
        <w:rPr>
          <w:rFonts w:hint="eastAsia"/>
          <w:lang w:val="en-US" w:eastAsia="zh-CN"/>
        </w:rPr>
        <w:t xml:space="preserve"> </w:t>
      </w:r>
      <w:r>
        <w:rPr>
          <w:rFonts w:hint="default"/>
          <w:lang w:val="en-US" w:eastAsia="zh-CN"/>
        </w:rPr>
        <w:t>评价机构应将参评企业的信用等级初评结果在指定的网站或媒体上进行公示，公示期不少于7个工作日。公示内容应包括企业名称、统一社会信用代码、信用等级及主要评价依据。</w:t>
      </w:r>
    </w:p>
    <w:p w14:paraId="79AF2E02">
      <w:pPr>
        <w:pStyle w:val="35"/>
        <w:ind w:left="0" w:leftChars="0" w:firstLine="0" w:firstLineChars="0"/>
        <w:rPr>
          <w:rFonts w:hint="default" w:ascii="黑体" w:hAnsi="Times New Roman" w:eastAsia="黑体" w:cs="Times New Roman"/>
          <w:sz w:val="21"/>
          <w:lang w:val="en-US" w:eastAsia="zh-CN" w:bidi="ar-SA"/>
        </w:rPr>
      </w:pPr>
      <w:r>
        <w:rPr>
          <w:rFonts w:hint="eastAsia" w:ascii="黑体" w:eastAsia="黑体" w:cs="Times New Roman"/>
          <w:sz w:val="21"/>
          <w:lang w:val="en-US" w:eastAsia="zh-CN" w:bidi="ar-SA"/>
        </w:rPr>
        <w:t>9</w:t>
      </w:r>
      <w:r>
        <w:rPr>
          <w:rFonts w:hint="default" w:ascii="黑体" w:hAnsi="Times New Roman" w:eastAsia="黑体" w:cs="Times New Roman"/>
          <w:sz w:val="21"/>
          <w:lang w:val="en-US" w:eastAsia="zh-CN" w:bidi="ar-SA"/>
        </w:rPr>
        <w:t>.</w:t>
      </w:r>
      <w:r>
        <w:rPr>
          <w:rFonts w:hint="eastAsia" w:ascii="黑体" w:eastAsia="黑体" w:cs="Times New Roman"/>
          <w:sz w:val="21"/>
          <w:lang w:val="en-US" w:eastAsia="zh-CN" w:bidi="ar-SA"/>
        </w:rPr>
        <w:t>5</w:t>
      </w:r>
      <w:r>
        <w:rPr>
          <w:rFonts w:hint="default" w:ascii="黑体" w:hAnsi="Times New Roman" w:eastAsia="黑体" w:cs="Times New Roman"/>
          <w:sz w:val="21"/>
          <w:lang w:val="en-US" w:eastAsia="zh-CN" w:bidi="ar-SA"/>
        </w:rPr>
        <w:t xml:space="preserve">.2 </w:t>
      </w:r>
      <w:r>
        <w:rPr>
          <w:rFonts w:hint="eastAsia" w:ascii="黑体" w:eastAsia="黑体" w:cs="Times New Roman"/>
          <w:sz w:val="21"/>
          <w:lang w:val="en-US" w:eastAsia="zh-CN" w:bidi="ar-SA"/>
        </w:rPr>
        <w:t xml:space="preserve"> </w:t>
      </w:r>
      <w:r>
        <w:rPr>
          <w:rFonts w:hint="default"/>
          <w:lang w:val="en-US" w:eastAsia="zh-CN"/>
        </w:rPr>
        <w:t>公示期满无异议或异议不成立的，评价机构应根据公示结果确定参评企业信用等级，</w:t>
      </w:r>
      <w:r>
        <w:rPr>
          <w:rFonts w:hint="eastAsia"/>
          <w:lang w:val="en-US" w:eastAsia="zh-CN"/>
        </w:rPr>
        <w:t>报湖南省拍卖行业协会、湖南省信用管理协会批准，确定最终评定结果，统一</w:t>
      </w:r>
      <w:r>
        <w:rPr>
          <w:rFonts w:hint="default"/>
          <w:lang w:val="en-US" w:eastAsia="zh-CN"/>
        </w:rPr>
        <w:t>颁发信用等级证书，并向社会公开发布。</w:t>
      </w:r>
    </w:p>
    <w:p w14:paraId="7563C037">
      <w:pPr>
        <w:pStyle w:val="35"/>
        <w:ind w:left="0" w:leftChars="0" w:firstLine="0" w:firstLineChars="0"/>
        <w:rPr>
          <w:rFonts w:hint="default"/>
          <w:lang w:val="en-US" w:eastAsia="zh-CN"/>
        </w:rPr>
      </w:pPr>
      <w:r>
        <w:rPr>
          <w:rFonts w:hint="eastAsia" w:ascii="黑体" w:eastAsia="黑体" w:cs="Times New Roman"/>
          <w:sz w:val="21"/>
          <w:lang w:val="en-US" w:eastAsia="zh-CN" w:bidi="ar-SA"/>
        </w:rPr>
        <w:t>9</w:t>
      </w:r>
      <w:r>
        <w:rPr>
          <w:rFonts w:hint="default" w:ascii="黑体" w:hAnsi="Times New Roman" w:eastAsia="黑体" w:cs="Times New Roman"/>
          <w:sz w:val="21"/>
          <w:lang w:val="en-US" w:eastAsia="zh-CN" w:bidi="ar-SA"/>
        </w:rPr>
        <w:t>.</w:t>
      </w:r>
      <w:r>
        <w:rPr>
          <w:rFonts w:hint="eastAsia" w:ascii="黑体" w:eastAsia="黑体" w:cs="Times New Roman"/>
          <w:sz w:val="21"/>
          <w:lang w:val="en-US" w:eastAsia="zh-CN" w:bidi="ar-SA"/>
        </w:rPr>
        <w:t>5</w:t>
      </w:r>
      <w:r>
        <w:rPr>
          <w:rFonts w:hint="default" w:ascii="黑体" w:hAnsi="Times New Roman" w:eastAsia="黑体" w:cs="Times New Roman"/>
          <w:sz w:val="21"/>
          <w:lang w:val="en-US" w:eastAsia="zh-CN" w:bidi="ar-SA"/>
        </w:rPr>
        <w:t xml:space="preserve">.3 </w:t>
      </w:r>
      <w:r>
        <w:rPr>
          <w:rFonts w:hint="eastAsia" w:ascii="黑体" w:eastAsia="黑体" w:cs="Times New Roman"/>
          <w:sz w:val="21"/>
          <w:lang w:val="en-US" w:eastAsia="zh-CN" w:bidi="ar-SA"/>
        </w:rPr>
        <w:t xml:space="preserve"> </w:t>
      </w:r>
      <w:r>
        <w:rPr>
          <w:rFonts w:hint="default"/>
          <w:lang w:val="en-US" w:eastAsia="zh-CN"/>
        </w:rPr>
        <w:t>信用等级证书应载明证书编号、企业名称、统一社会信用代码、信用等级、评价机构、有效期及查询方式等内容。</w:t>
      </w:r>
      <w:bookmarkStart w:id="70" w:name="_Toc14032"/>
      <w:bookmarkStart w:id="71" w:name="_Toc16406"/>
    </w:p>
    <w:p w14:paraId="6D192EDB">
      <w:pPr>
        <w:pStyle w:val="41"/>
        <w:numPr>
          <w:ilvl w:val="2"/>
          <w:numId w:val="0"/>
        </w:numPr>
        <w:spacing w:before="120" w:after="120"/>
        <w:ind w:leftChars="0"/>
        <w:rPr>
          <w:rFonts w:hint="default"/>
          <w:lang w:val="en-US" w:eastAsia="zh-CN"/>
        </w:rPr>
      </w:pPr>
      <w:r>
        <w:rPr>
          <w:rFonts w:hint="eastAsia"/>
          <w:lang w:val="en-US" w:eastAsia="zh-CN"/>
        </w:rPr>
        <w:t>9</w:t>
      </w:r>
      <w:r>
        <w:rPr>
          <w:rFonts w:hint="default"/>
          <w:lang w:val="en-US" w:eastAsia="zh-CN"/>
        </w:rPr>
        <w:t>.</w:t>
      </w:r>
      <w:r>
        <w:rPr>
          <w:rFonts w:hint="eastAsia"/>
          <w:lang w:val="en-US" w:eastAsia="zh-CN"/>
        </w:rPr>
        <w:t xml:space="preserve">6  </w:t>
      </w:r>
      <w:r>
        <w:rPr>
          <w:rFonts w:hint="eastAsia"/>
        </w:rPr>
        <w:t>异议处理</w:t>
      </w:r>
    </w:p>
    <w:p w14:paraId="1DC7C29C">
      <w:pPr>
        <w:pStyle w:val="35"/>
        <w:ind w:left="0" w:leftChars="0" w:firstLine="0" w:firstLineChars="0"/>
        <w:rPr>
          <w:rFonts w:hint="default" w:ascii="黑体" w:hAnsi="Times New Roman" w:eastAsia="黑体" w:cs="Times New Roman"/>
          <w:sz w:val="21"/>
          <w:lang w:val="en-US" w:eastAsia="zh-CN" w:bidi="ar-SA"/>
        </w:rPr>
      </w:pPr>
      <w:r>
        <w:rPr>
          <w:rFonts w:hint="eastAsia" w:ascii="黑体" w:eastAsia="黑体" w:cs="Times New Roman"/>
          <w:sz w:val="21"/>
          <w:lang w:val="en-US" w:eastAsia="zh-CN" w:bidi="ar-SA"/>
        </w:rPr>
        <w:t>9</w:t>
      </w:r>
      <w:r>
        <w:rPr>
          <w:rFonts w:hint="default" w:ascii="黑体" w:hAnsi="Times New Roman" w:eastAsia="黑体" w:cs="Times New Roman"/>
          <w:sz w:val="21"/>
          <w:lang w:val="en-US" w:eastAsia="zh-CN" w:bidi="ar-SA"/>
        </w:rPr>
        <w:t>.</w:t>
      </w:r>
      <w:r>
        <w:rPr>
          <w:rFonts w:hint="eastAsia" w:ascii="黑体" w:eastAsia="黑体" w:cs="Times New Roman"/>
          <w:sz w:val="21"/>
          <w:lang w:val="en-US" w:eastAsia="zh-CN" w:bidi="ar-SA"/>
        </w:rPr>
        <w:t>6</w:t>
      </w:r>
      <w:r>
        <w:rPr>
          <w:rFonts w:hint="default" w:ascii="黑体" w:hAnsi="Times New Roman" w:eastAsia="黑体" w:cs="Times New Roman"/>
          <w:sz w:val="21"/>
          <w:lang w:val="en-US" w:eastAsia="zh-CN" w:bidi="ar-SA"/>
        </w:rPr>
        <w:t>.1</w:t>
      </w:r>
      <w:r>
        <w:rPr>
          <w:rFonts w:hint="default"/>
          <w:lang w:val="en-US" w:eastAsia="zh-CN"/>
        </w:rPr>
        <w:t xml:space="preserve"> </w:t>
      </w:r>
      <w:r>
        <w:rPr>
          <w:rFonts w:hint="eastAsia"/>
          <w:lang w:val="en-US" w:eastAsia="zh-CN"/>
        </w:rPr>
        <w:t xml:space="preserve"> </w:t>
      </w:r>
      <w:r>
        <w:rPr>
          <w:rFonts w:hint="default"/>
          <w:lang w:val="en-US" w:eastAsia="zh-CN"/>
        </w:rPr>
        <w:t>企业或相关方对评价结果有异议的，应在评价结果公示期内向评价机构书面提出，并附相关证明材料。逾期提出的，评价机构可不予受理。</w:t>
      </w:r>
    </w:p>
    <w:p w14:paraId="380ED23A">
      <w:pPr>
        <w:pStyle w:val="35"/>
        <w:ind w:left="0" w:leftChars="0" w:firstLine="0" w:firstLineChars="0"/>
        <w:rPr>
          <w:rFonts w:hint="default" w:ascii="黑体" w:hAnsi="Times New Roman" w:eastAsia="黑体" w:cs="Times New Roman"/>
          <w:sz w:val="21"/>
          <w:lang w:val="en-US" w:eastAsia="zh-CN" w:bidi="ar-SA"/>
        </w:rPr>
      </w:pPr>
      <w:r>
        <w:rPr>
          <w:rFonts w:hint="eastAsia" w:ascii="黑体" w:eastAsia="黑体" w:cs="Times New Roman"/>
          <w:sz w:val="21"/>
          <w:lang w:val="en-US" w:eastAsia="zh-CN" w:bidi="ar-SA"/>
        </w:rPr>
        <w:t>9</w:t>
      </w:r>
      <w:r>
        <w:rPr>
          <w:rFonts w:hint="default" w:ascii="黑体" w:hAnsi="Times New Roman" w:eastAsia="黑体" w:cs="Times New Roman"/>
          <w:sz w:val="21"/>
          <w:lang w:val="en-US" w:eastAsia="zh-CN" w:bidi="ar-SA"/>
        </w:rPr>
        <w:t>.</w:t>
      </w:r>
      <w:r>
        <w:rPr>
          <w:rFonts w:hint="eastAsia" w:ascii="黑体" w:eastAsia="黑体" w:cs="Times New Roman"/>
          <w:sz w:val="21"/>
          <w:lang w:val="en-US" w:eastAsia="zh-CN" w:bidi="ar-SA"/>
        </w:rPr>
        <w:t>6</w:t>
      </w:r>
      <w:r>
        <w:rPr>
          <w:rFonts w:hint="default" w:ascii="黑体" w:hAnsi="Times New Roman" w:eastAsia="黑体" w:cs="Times New Roman"/>
          <w:sz w:val="21"/>
          <w:lang w:val="en-US" w:eastAsia="zh-CN" w:bidi="ar-SA"/>
        </w:rPr>
        <w:t xml:space="preserve">.2 </w:t>
      </w:r>
      <w:r>
        <w:rPr>
          <w:rFonts w:hint="eastAsia" w:ascii="黑体" w:eastAsia="黑体" w:cs="Times New Roman"/>
          <w:sz w:val="21"/>
          <w:lang w:val="en-US" w:eastAsia="zh-CN" w:bidi="ar-SA"/>
        </w:rPr>
        <w:t xml:space="preserve"> </w:t>
      </w:r>
      <w:r>
        <w:rPr>
          <w:rFonts w:hint="default"/>
          <w:lang w:val="en-US" w:eastAsia="zh-CN"/>
        </w:rPr>
        <w:t>评价机构应在收到异议后7个工作日内组织核查，必要时可重新进行现场核查或补充调查，并将核查结果书面答复异议人。</w:t>
      </w:r>
    </w:p>
    <w:p w14:paraId="7F66417C">
      <w:pPr>
        <w:pStyle w:val="35"/>
        <w:ind w:left="0" w:leftChars="0" w:firstLine="0" w:firstLineChars="0"/>
        <w:rPr>
          <w:rFonts w:hint="default"/>
          <w:lang w:val="en-US" w:eastAsia="zh-CN"/>
        </w:rPr>
      </w:pPr>
      <w:r>
        <w:rPr>
          <w:rFonts w:hint="eastAsia" w:ascii="黑体" w:eastAsia="黑体" w:cs="Times New Roman"/>
          <w:sz w:val="21"/>
          <w:lang w:val="en-US" w:eastAsia="zh-CN" w:bidi="ar-SA"/>
        </w:rPr>
        <w:t>9</w:t>
      </w:r>
      <w:r>
        <w:rPr>
          <w:rFonts w:hint="default" w:ascii="黑体" w:hAnsi="Times New Roman" w:eastAsia="黑体" w:cs="Times New Roman"/>
          <w:sz w:val="21"/>
          <w:lang w:val="en-US" w:eastAsia="zh-CN" w:bidi="ar-SA"/>
        </w:rPr>
        <w:t>.</w:t>
      </w:r>
      <w:r>
        <w:rPr>
          <w:rFonts w:hint="eastAsia" w:ascii="黑体" w:eastAsia="黑体" w:cs="Times New Roman"/>
          <w:sz w:val="21"/>
          <w:lang w:val="en-US" w:eastAsia="zh-CN" w:bidi="ar-SA"/>
        </w:rPr>
        <w:t>6</w:t>
      </w:r>
      <w:r>
        <w:rPr>
          <w:rFonts w:hint="default" w:ascii="黑体" w:hAnsi="Times New Roman" w:eastAsia="黑体" w:cs="Times New Roman"/>
          <w:sz w:val="21"/>
          <w:lang w:val="en-US" w:eastAsia="zh-CN" w:bidi="ar-SA"/>
        </w:rPr>
        <w:t xml:space="preserve">.3 </w:t>
      </w:r>
      <w:r>
        <w:rPr>
          <w:rFonts w:hint="eastAsia" w:ascii="黑体" w:eastAsia="黑体" w:cs="Times New Roman"/>
          <w:sz w:val="21"/>
          <w:lang w:val="en-US" w:eastAsia="zh-CN" w:bidi="ar-SA"/>
        </w:rPr>
        <w:t xml:space="preserve"> </w:t>
      </w:r>
      <w:r>
        <w:rPr>
          <w:rFonts w:hint="default"/>
          <w:lang w:val="en-US" w:eastAsia="zh-CN"/>
        </w:rPr>
        <w:t>经核查确认评价结果确有错误的，评价机构应及时予以纠正，重新公示并说明原因；确认评价结果无误的，应维持原评价结果并书面说明理由。</w:t>
      </w:r>
    </w:p>
    <w:p w14:paraId="630C8A9B">
      <w:pPr>
        <w:pStyle w:val="35"/>
        <w:ind w:left="0" w:leftChars="0" w:firstLine="0" w:firstLineChars="0"/>
        <w:rPr>
          <w:rFonts w:hint="default"/>
          <w:lang w:val="en-US" w:eastAsia="zh-CN"/>
        </w:rPr>
      </w:pPr>
      <w:r>
        <w:rPr>
          <w:rFonts w:hint="eastAsia" w:ascii="黑体" w:eastAsia="黑体" w:cs="Times New Roman"/>
          <w:sz w:val="21"/>
          <w:lang w:val="en-US" w:eastAsia="zh-CN" w:bidi="ar-SA"/>
        </w:rPr>
        <w:t>9</w:t>
      </w:r>
      <w:r>
        <w:rPr>
          <w:rFonts w:hint="default" w:ascii="黑体" w:hAnsi="Times New Roman" w:eastAsia="黑体" w:cs="Times New Roman"/>
          <w:sz w:val="21"/>
          <w:lang w:val="en-US" w:eastAsia="zh-CN" w:bidi="ar-SA"/>
        </w:rPr>
        <w:t>.</w:t>
      </w:r>
      <w:r>
        <w:rPr>
          <w:rFonts w:hint="eastAsia" w:ascii="黑体" w:eastAsia="黑体" w:cs="Times New Roman"/>
          <w:sz w:val="21"/>
          <w:lang w:val="en-US" w:eastAsia="zh-CN" w:bidi="ar-SA"/>
        </w:rPr>
        <w:t>6</w:t>
      </w:r>
      <w:r>
        <w:rPr>
          <w:rFonts w:hint="default" w:ascii="黑体" w:hAnsi="Times New Roman" w:eastAsia="黑体" w:cs="Times New Roman"/>
          <w:sz w:val="21"/>
          <w:lang w:val="en-US" w:eastAsia="zh-CN" w:bidi="ar-SA"/>
        </w:rPr>
        <w:t>.</w:t>
      </w:r>
      <w:r>
        <w:rPr>
          <w:rFonts w:hint="eastAsia" w:ascii="黑体" w:eastAsia="黑体" w:cs="Times New Roman"/>
          <w:sz w:val="21"/>
          <w:lang w:val="en-US" w:eastAsia="zh-CN" w:bidi="ar-SA"/>
        </w:rPr>
        <w:t>4</w:t>
      </w:r>
      <w:r>
        <w:rPr>
          <w:rFonts w:hint="default" w:ascii="黑体" w:hAnsi="Times New Roman" w:eastAsia="黑体" w:cs="Times New Roman"/>
          <w:sz w:val="21"/>
          <w:lang w:val="en-US" w:eastAsia="zh-CN" w:bidi="ar-SA"/>
        </w:rPr>
        <w:t xml:space="preserve"> </w:t>
      </w:r>
      <w:r>
        <w:rPr>
          <w:rFonts w:hint="eastAsia" w:ascii="黑体" w:eastAsia="黑体" w:cs="Times New Roman"/>
          <w:sz w:val="21"/>
          <w:lang w:val="en-US" w:eastAsia="zh-CN" w:bidi="ar-SA"/>
        </w:rPr>
        <w:t xml:space="preserve"> </w:t>
      </w:r>
      <w:r>
        <w:rPr>
          <w:rFonts w:hint="eastAsia"/>
          <w:lang w:val="en-US" w:eastAsia="zh-CN"/>
        </w:rPr>
        <w:t>异议受理期间，可暂缓对外发布、暂缓将评价结果推送至公共信用信息共享平台；已经对外应用的，应当标注 “异议处理中”，防范错误信用结果对企业造成不可逆伤害。</w:t>
      </w:r>
    </w:p>
    <w:p w14:paraId="5EA3CFB8">
      <w:pPr>
        <w:pStyle w:val="41"/>
        <w:numPr>
          <w:ilvl w:val="2"/>
          <w:numId w:val="0"/>
        </w:numPr>
        <w:spacing w:before="120" w:after="120"/>
        <w:ind w:leftChars="0"/>
        <w:rPr>
          <w:rFonts w:hint="eastAsia"/>
          <w:lang w:val="en-US" w:eastAsia="zh-CN"/>
        </w:rPr>
      </w:pPr>
      <w:r>
        <w:rPr>
          <w:rFonts w:hint="eastAsia"/>
          <w:lang w:val="en-US" w:eastAsia="zh-CN"/>
        </w:rPr>
        <w:t xml:space="preserve">10  </w:t>
      </w:r>
      <w:bookmarkEnd w:id="70"/>
      <w:bookmarkEnd w:id="71"/>
      <w:r>
        <w:rPr>
          <w:rFonts w:hint="eastAsia"/>
          <w:lang w:val="en-US" w:eastAsia="zh-CN"/>
        </w:rPr>
        <w:t>结果应用</w:t>
      </w:r>
    </w:p>
    <w:p w14:paraId="3D1F7009">
      <w:pPr>
        <w:pStyle w:val="41"/>
        <w:numPr>
          <w:ilvl w:val="2"/>
          <w:numId w:val="0"/>
        </w:numPr>
        <w:spacing w:before="120" w:after="120"/>
        <w:ind w:leftChars="0"/>
        <w:rPr>
          <w:rFonts w:hint="eastAsia"/>
          <w:lang w:val="en-US" w:eastAsia="zh-CN"/>
        </w:rPr>
      </w:pPr>
      <w:r>
        <w:rPr>
          <w:rFonts w:hint="eastAsia"/>
          <w:lang w:val="en-US" w:eastAsia="zh-CN"/>
        </w:rPr>
        <w:t>10</w:t>
      </w:r>
      <w:r>
        <w:rPr>
          <w:rFonts w:hint="default"/>
          <w:lang w:val="en-US" w:eastAsia="zh-CN"/>
        </w:rPr>
        <w:t xml:space="preserve">.1 </w:t>
      </w:r>
      <w:r>
        <w:rPr>
          <w:rFonts w:hint="eastAsia"/>
          <w:lang w:val="en-US" w:eastAsia="zh-CN"/>
        </w:rPr>
        <w:t xml:space="preserve"> 应用原则</w:t>
      </w:r>
    </w:p>
    <w:p w14:paraId="3C6428DF">
      <w:pPr>
        <w:pStyle w:val="35"/>
        <w:rPr>
          <w:rFonts w:hint="default"/>
          <w:lang w:val="en-US" w:eastAsia="zh-CN"/>
        </w:rPr>
      </w:pPr>
      <w:r>
        <w:rPr>
          <w:rFonts w:hint="default"/>
          <w:lang w:val="en-US" w:eastAsia="zh-CN"/>
        </w:rPr>
        <w:t>信用评价结果应用应遵循合法合规、公平公正、分类施策、激励与约束并重的原则，不得滥用评价结果损害企业合法权益。</w:t>
      </w:r>
    </w:p>
    <w:p w14:paraId="41B33ACC">
      <w:pPr>
        <w:pStyle w:val="41"/>
        <w:numPr>
          <w:ilvl w:val="2"/>
          <w:numId w:val="0"/>
        </w:numPr>
        <w:spacing w:before="120" w:after="120"/>
        <w:ind w:leftChars="0"/>
        <w:rPr>
          <w:rFonts w:hint="eastAsia"/>
          <w:lang w:val="en-US" w:eastAsia="zh-CN"/>
        </w:rPr>
      </w:pPr>
      <w:r>
        <w:rPr>
          <w:rFonts w:hint="eastAsia"/>
          <w:lang w:val="en-US" w:eastAsia="zh-CN"/>
        </w:rPr>
        <w:t>10</w:t>
      </w:r>
      <w:r>
        <w:rPr>
          <w:rFonts w:hint="default"/>
          <w:lang w:val="en-US" w:eastAsia="zh-CN"/>
        </w:rPr>
        <w:t>.2</w:t>
      </w:r>
      <w:bookmarkStart w:id="72" w:name="_Toc14650"/>
      <w:bookmarkStart w:id="73" w:name="_Toc22431"/>
      <w:bookmarkStart w:id="74" w:name="_Toc24534"/>
      <w:bookmarkStart w:id="75" w:name="_Toc3999"/>
      <w:bookmarkStart w:id="76" w:name="_Toc31070"/>
      <w:bookmarkStart w:id="77" w:name="_Toc18191"/>
      <w:r>
        <w:rPr>
          <w:rFonts w:hint="eastAsia"/>
          <w:lang w:val="en-US" w:eastAsia="zh-CN"/>
        </w:rPr>
        <w:t xml:space="preserve">  应用场景</w:t>
      </w:r>
    </w:p>
    <w:p w14:paraId="7A339ED9">
      <w:pPr>
        <w:pStyle w:val="35"/>
        <w:rPr>
          <w:rFonts w:hint="default"/>
          <w:lang w:val="en-US" w:eastAsia="zh-CN"/>
        </w:rPr>
      </w:pPr>
      <w:r>
        <w:rPr>
          <w:rFonts w:hint="default"/>
          <w:lang w:val="en-US" w:eastAsia="zh-CN"/>
        </w:rPr>
        <w:t>信用评价结果可作为政府行政监管、市场资源配置、企业从事经营活动推荐、行业评优及其他有关工作管理的依据，具体可用于以下场景：</w:t>
      </w:r>
    </w:p>
    <w:p w14:paraId="3A6AA34A">
      <w:pPr>
        <w:pStyle w:val="35"/>
        <w:ind w:left="0" w:leftChars="0" w:firstLine="420" w:firstLineChars="200"/>
        <w:rPr>
          <w:rFonts w:hint="default"/>
          <w:lang w:val="en-US" w:eastAsia="zh-CN"/>
        </w:rPr>
      </w:pPr>
      <w:r>
        <w:rPr>
          <w:rFonts w:hint="default"/>
          <w:lang w:val="en-US" w:eastAsia="zh-CN"/>
        </w:rPr>
        <w:t xml:space="preserve">a）行业监管：作为商务主管部门、文物主管部门、市场监管部门等实施分级分类监管、双随机抽查、重点监管的依据。对信用等级高的企业，适当降低检查频次，实行守信激励；对信用等级低的企业，加大监管力度，实行失信约束；  </w:t>
      </w:r>
    </w:p>
    <w:p w14:paraId="6649DB08">
      <w:pPr>
        <w:pStyle w:val="35"/>
        <w:rPr>
          <w:rFonts w:hint="default"/>
          <w:lang w:val="en-US" w:eastAsia="zh-CN"/>
        </w:rPr>
      </w:pPr>
      <w:r>
        <w:rPr>
          <w:rFonts w:hint="default"/>
          <w:lang w:val="en-US" w:eastAsia="zh-CN"/>
        </w:rPr>
        <w:t xml:space="preserve">b）招投标参考：为政府采购、公共资源交易、司法辅助拍卖、国有资产处置、金融机构不良资产处置等招标活动提供客观信用依据，作为资格审查或评标加分的重要参考；  </w:t>
      </w:r>
    </w:p>
    <w:p w14:paraId="4C1236FC">
      <w:pPr>
        <w:pStyle w:val="35"/>
        <w:rPr>
          <w:rFonts w:hint="default"/>
          <w:lang w:val="en-US" w:eastAsia="zh-CN"/>
        </w:rPr>
      </w:pPr>
      <w:r>
        <w:rPr>
          <w:rFonts w:hint="default"/>
          <w:lang w:val="en-US" w:eastAsia="zh-CN"/>
        </w:rPr>
        <w:t xml:space="preserve">c）市场准入：作为企业进入拍卖服务市场、申请文物拍卖许可证、参与公物拍卖资格、加入行业协会的参考条件；  </w:t>
      </w:r>
    </w:p>
    <w:p w14:paraId="31609B54">
      <w:pPr>
        <w:pStyle w:val="35"/>
        <w:rPr>
          <w:rFonts w:hint="default"/>
          <w:lang w:val="en-US" w:eastAsia="zh-CN"/>
        </w:rPr>
      </w:pPr>
      <w:r>
        <w:rPr>
          <w:rFonts w:hint="default"/>
          <w:lang w:val="en-US" w:eastAsia="zh-CN"/>
        </w:rPr>
        <w:t xml:space="preserve">d）评优表彰：在行业评优、创先评优、品牌认定时作为重要参考，优先推荐信用等级高的企业参评各级荣誉；  </w:t>
      </w:r>
    </w:p>
    <w:p w14:paraId="2BD7EDF1">
      <w:pPr>
        <w:pStyle w:val="35"/>
        <w:rPr>
          <w:rFonts w:hint="default"/>
          <w:lang w:val="en-US" w:eastAsia="zh-CN"/>
        </w:rPr>
      </w:pPr>
      <w:r>
        <w:rPr>
          <w:rFonts w:hint="default"/>
          <w:lang w:val="en-US" w:eastAsia="zh-CN"/>
        </w:rPr>
        <w:t xml:space="preserve">e）委托参考：为委托人、竞买人选择拍卖企业提供信用参考，引导市场资源向信用优良企业集聚；  </w:t>
      </w:r>
    </w:p>
    <w:p w14:paraId="12F95BB3">
      <w:pPr>
        <w:pStyle w:val="35"/>
        <w:rPr>
          <w:rFonts w:hint="default"/>
          <w:lang w:val="en-US" w:eastAsia="zh-CN"/>
        </w:rPr>
      </w:pPr>
      <w:r>
        <w:rPr>
          <w:rFonts w:hint="default"/>
          <w:lang w:val="en-US" w:eastAsia="zh-CN"/>
        </w:rPr>
        <w:t xml:space="preserve">f）融资增信：作为金融机构对拍卖企业授信、融资、担保的参考依据，鼓励金融机构开发信用贷款、信用保险等金融产品；  </w:t>
      </w:r>
    </w:p>
    <w:p w14:paraId="7967D602">
      <w:pPr>
        <w:pStyle w:val="35"/>
        <w:rPr>
          <w:rFonts w:hint="default"/>
          <w:lang w:val="en-US" w:eastAsia="zh-CN"/>
        </w:rPr>
      </w:pPr>
      <w:r>
        <w:rPr>
          <w:rFonts w:hint="default"/>
          <w:lang w:val="en-US" w:eastAsia="zh-CN"/>
        </w:rPr>
        <w:t>g）联合奖惩：作为跨部门、跨行业联合奖惩的依据，推动信用评价结果在行政审批、公共服务、社会治理等领域的联动应用。</w:t>
      </w:r>
    </w:p>
    <w:p w14:paraId="0EDB37AA">
      <w:pPr>
        <w:pStyle w:val="41"/>
        <w:numPr>
          <w:ilvl w:val="2"/>
          <w:numId w:val="0"/>
        </w:numPr>
        <w:spacing w:before="120" w:after="120"/>
        <w:ind w:leftChars="0"/>
        <w:rPr>
          <w:rFonts w:hint="eastAsia"/>
          <w:lang w:val="en-US" w:eastAsia="zh-CN"/>
        </w:rPr>
      </w:pPr>
      <w:r>
        <w:rPr>
          <w:rFonts w:hint="eastAsia"/>
          <w:lang w:val="en-US" w:eastAsia="zh-CN"/>
        </w:rPr>
        <w:t>10</w:t>
      </w:r>
      <w:r>
        <w:rPr>
          <w:rFonts w:hint="default"/>
          <w:lang w:val="en-US" w:eastAsia="zh-CN"/>
        </w:rPr>
        <w:t xml:space="preserve">.3 </w:t>
      </w:r>
      <w:r>
        <w:rPr>
          <w:rFonts w:hint="eastAsia"/>
          <w:lang w:val="en-US" w:eastAsia="zh-CN"/>
        </w:rPr>
        <w:t xml:space="preserve"> 信息共享</w:t>
      </w:r>
    </w:p>
    <w:p w14:paraId="2EA1E57C">
      <w:pPr>
        <w:pStyle w:val="35"/>
        <w:ind w:left="0" w:leftChars="0" w:firstLine="0" w:firstLineChars="0"/>
        <w:rPr>
          <w:rFonts w:hint="default" w:ascii="黑体" w:hAnsi="Times New Roman" w:eastAsia="黑体" w:cs="Times New Roman"/>
          <w:sz w:val="21"/>
          <w:lang w:val="en-US" w:eastAsia="zh-CN" w:bidi="ar-SA"/>
        </w:rPr>
      </w:pPr>
      <w:r>
        <w:rPr>
          <w:rFonts w:hint="default" w:ascii="黑体" w:hAnsi="Times New Roman" w:eastAsia="黑体" w:cs="Times New Roman"/>
          <w:sz w:val="21"/>
          <w:lang w:val="en-US" w:eastAsia="zh-CN" w:bidi="ar-SA"/>
        </w:rPr>
        <w:t>10.3.1</w:t>
      </w:r>
      <w:r>
        <w:rPr>
          <w:rFonts w:hint="eastAsia" w:ascii="黑体" w:eastAsia="黑体" w:cs="Times New Roman"/>
          <w:sz w:val="21"/>
          <w:lang w:val="en-US" w:eastAsia="zh-CN" w:bidi="ar-SA"/>
        </w:rPr>
        <w:t xml:space="preserve">  </w:t>
      </w:r>
      <w:r>
        <w:rPr>
          <w:rFonts w:hint="default"/>
          <w:lang w:val="en-US" w:eastAsia="zh-CN"/>
        </w:rPr>
        <w:t>评价机构应在完成信用评价后的5个工作日内，将评价结果报送至湖南省社会信用信息共享平台及行业主管部门。</w:t>
      </w:r>
    </w:p>
    <w:p w14:paraId="64199A02">
      <w:pPr>
        <w:pStyle w:val="35"/>
        <w:ind w:left="0" w:leftChars="0" w:firstLine="0" w:firstLineChars="0"/>
        <w:rPr>
          <w:rFonts w:hint="default"/>
          <w:lang w:val="en-US" w:eastAsia="zh-CN"/>
        </w:rPr>
      </w:pPr>
      <w:r>
        <w:rPr>
          <w:rFonts w:hint="default" w:ascii="黑体" w:hAnsi="Times New Roman" w:eastAsia="黑体" w:cs="Times New Roman"/>
          <w:sz w:val="21"/>
          <w:lang w:val="en-US" w:eastAsia="zh-CN" w:bidi="ar-SA"/>
        </w:rPr>
        <w:t>10.3.2</w:t>
      </w:r>
      <w:r>
        <w:rPr>
          <w:rFonts w:hint="eastAsia" w:ascii="黑体" w:eastAsia="黑体" w:cs="Times New Roman"/>
          <w:sz w:val="21"/>
          <w:lang w:val="en-US" w:eastAsia="zh-CN" w:bidi="ar-SA"/>
        </w:rPr>
        <w:t xml:space="preserve">  </w:t>
      </w:r>
      <w:r>
        <w:rPr>
          <w:rFonts w:hint="default"/>
          <w:lang w:val="en-US" w:eastAsia="zh-CN"/>
        </w:rPr>
        <w:t>鼓励评价机构与全国信用信息共享平台、信用中国（湖南）网站、行业信用信息系统实现数据对接，推动评价结果跨区域、跨行业互认。</w:t>
      </w:r>
    </w:p>
    <w:p w14:paraId="260761E3">
      <w:pPr>
        <w:pStyle w:val="41"/>
        <w:numPr>
          <w:ilvl w:val="2"/>
          <w:numId w:val="0"/>
        </w:numPr>
        <w:spacing w:before="120" w:after="120"/>
        <w:ind w:leftChars="0"/>
        <w:rPr>
          <w:rFonts w:hint="eastAsia"/>
          <w:lang w:val="en-US" w:eastAsia="zh-CN"/>
        </w:rPr>
      </w:pPr>
      <w:r>
        <w:rPr>
          <w:rFonts w:hint="eastAsia"/>
          <w:lang w:val="en-US" w:eastAsia="zh-CN"/>
        </w:rPr>
        <w:t>11  档案管理与信息安全</w:t>
      </w:r>
    </w:p>
    <w:p w14:paraId="79A579EE">
      <w:pPr>
        <w:pStyle w:val="35"/>
        <w:ind w:left="0" w:leftChars="0" w:firstLine="0" w:firstLineChars="0"/>
        <w:rPr>
          <w:rFonts w:hint="eastAsia" w:ascii="黑体" w:hAnsi="Times New Roman" w:eastAsia="黑体" w:cs="Times New Roman"/>
          <w:sz w:val="21"/>
          <w:lang w:val="en-US" w:eastAsia="zh-CN" w:bidi="ar-SA"/>
        </w:rPr>
      </w:pPr>
      <w:r>
        <w:rPr>
          <w:rFonts w:hint="eastAsia" w:ascii="黑体" w:hAnsi="Times New Roman" w:eastAsia="黑体" w:cs="Times New Roman"/>
          <w:sz w:val="21"/>
          <w:lang w:val="en-US" w:eastAsia="zh-CN" w:bidi="ar-SA"/>
        </w:rPr>
        <w:t>11.1</w:t>
      </w:r>
      <w:r>
        <w:rPr>
          <w:rFonts w:hint="eastAsia" w:ascii="黑体" w:eastAsia="黑体" w:cs="Times New Roman"/>
          <w:sz w:val="21"/>
          <w:lang w:val="en-US" w:eastAsia="zh-CN" w:bidi="ar-SA"/>
        </w:rPr>
        <w:t xml:space="preserve">  </w:t>
      </w:r>
      <w:r>
        <w:rPr>
          <w:rFonts w:hint="eastAsia" w:ascii="黑体" w:hAnsi="Times New Roman" w:eastAsia="黑体" w:cs="Times New Roman"/>
          <w:sz w:val="21"/>
          <w:lang w:val="en-US" w:eastAsia="zh-CN" w:bidi="ar-SA"/>
        </w:rPr>
        <w:t>档案收集</w:t>
      </w:r>
    </w:p>
    <w:p w14:paraId="15886362">
      <w:pPr>
        <w:pStyle w:val="35"/>
        <w:ind w:left="0" w:leftChars="0" w:firstLine="0" w:firstLineChars="0"/>
        <w:rPr>
          <w:rFonts w:hint="eastAsia"/>
          <w:lang w:val="en-US" w:eastAsia="zh-CN"/>
        </w:rPr>
      </w:pPr>
    </w:p>
    <w:p w14:paraId="7698EE62">
      <w:pPr>
        <w:pStyle w:val="35"/>
        <w:ind w:left="0" w:leftChars="0" w:firstLine="420" w:firstLineChars="200"/>
        <w:rPr>
          <w:rFonts w:hint="eastAsia"/>
          <w:lang w:val="en-US" w:eastAsia="zh-CN"/>
        </w:rPr>
      </w:pPr>
      <w:r>
        <w:rPr>
          <w:rFonts w:hint="eastAsia"/>
          <w:lang w:val="en-US" w:eastAsia="zh-CN"/>
        </w:rPr>
        <w:t>评价机构在完成评价对象的信用评价后，应对评价过程中获取和产生的数据、资料进行系统收集和归档。</w:t>
      </w:r>
    </w:p>
    <w:p w14:paraId="2D076527">
      <w:pPr>
        <w:pStyle w:val="35"/>
        <w:ind w:left="0" w:leftChars="0" w:firstLine="0" w:firstLineChars="0"/>
        <w:rPr>
          <w:rFonts w:hint="eastAsia"/>
          <w:lang w:val="en-US" w:eastAsia="zh-CN"/>
        </w:rPr>
      </w:pPr>
    </w:p>
    <w:p w14:paraId="5A29C14E">
      <w:pPr>
        <w:pStyle w:val="35"/>
        <w:ind w:left="0" w:leftChars="0" w:firstLine="0" w:firstLineChars="0"/>
        <w:rPr>
          <w:rFonts w:hint="eastAsia" w:ascii="黑体" w:hAnsi="Times New Roman" w:eastAsia="黑体" w:cs="Times New Roman"/>
          <w:sz w:val="21"/>
          <w:lang w:val="en-US" w:eastAsia="zh-CN" w:bidi="ar-SA"/>
        </w:rPr>
      </w:pPr>
      <w:r>
        <w:rPr>
          <w:rFonts w:hint="eastAsia" w:ascii="黑体" w:hAnsi="Times New Roman" w:eastAsia="黑体" w:cs="Times New Roman"/>
          <w:sz w:val="21"/>
          <w:lang w:val="en-US" w:eastAsia="zh-CN" w:bidi="ar-SA"/>
        </w:rPr>
        <w:t>11.2</w:t>
      </w:r>
      <w:r>
        <w:rPr>
          <w:rFonts w:hint="eastAsia" w:ascii="黑体" w:eastAsia="黑体" w:cs="Times New Roman"/>
          <w:sz w:val="21"/>
          <w:lang w:val="en-US" w:eastAsia="zh-CN" w:bidi="ar-SA"/>
        </w:rPr>
        <w:t xml:space="preserve">  </w:t>
      </w:r>
      <w:r>
        <w:rPr>
          <w:rFonts w:hint="eastAsia" w:ascii="黑体" w:hAnsi="Times New Roman" w:eastAsia="黑体" w:cs="Times New Roman"/>
          <w:sz w:val="21"/>
          <w:lang w:val="en-US" w:eastAsia="zh-CN" w:bidi="ar-SA"/>
        </w:rPr>
        <w:t>档案内容</w:t>
      </w:r>
    </w:p>
    <w:p w14:paraId="0009BA8C">
      <w:pPr>
        <w:pStyle w:val="35"/>
        <w:ind w:left="0" w:leftChars="0" w:firstLine="0" w:firstLineChars="0"/>
        <w:rPr>
          <w:rFonts w:hint="eastAsia"/>
          <w:lang w:val="en-US" w:eastAsia="zh-CN"/>
        </w:rPr>
      </w:pPr>
    </w:p>
    <w:p w14:paraId="33CDE592">
      <w:pPr>
        <w:pStyle w:val="35"/>
        <w:ind w:left="0" w:leftChars="0" w:firstLine="420" w:firstLineChars="200"/>
        <w:rPr>
          <w:rFonts w:hint="eastAsia"/>
          <w:lang w:val="en-US" w:eastAsia="zh-CN"/>
        </w:rPr>
      </w:pPr>
      <w:r>
        <w:rPr>
          <w:rFonts w:hint="eastAsia"/>
          <w:lang w:val="en-US" w:eastAsia="zh-CN"/>
        </w:rPr>
        <w:t>信用评价档案宜包括电子档案和纸质档案，档案内容应完整、准确、可追溯，具体包括：</w:t>
      </w:r>
    </w:p>
    <w:p w14:paraId="5814F9EE">
      <w:pPr>
        <w:pStyle w:val="35"/>
        <w:ind w:left="0" w:leftChars="0" w:firstLine="420" w:firstLineChars="200"/>
        <w:rPr>
          <w:rFonts w:hint="eastAsia"/>
          <w:lang w:val="en-US" w:eastAsia="zh-CN"/>
        </w:rPr>
      </w:pPr>
      <w:r>
        <w:rPr>
          <w:rFonts w:hint="eastAsia"/>
          <w:lang w:val="en-US" w:eastAsia="zh-CN"/>
        </w:rPr>
        <w:t xml:space="preserve">a）企业申报材料及附件；  </w:t>
      </w:r>
    </w:p>
    <w:p w14:paraId="01134596">
      <w:pPr>
        <w:pStyle w:val="35"/>
        <w:ind w:left="0" w:leftChars="0" w:firstLine="420" w:firstLineChars="200"/>
        <w:rPr>
          <w:rFonts w:hint="eastAsia"/>
          <w:lang w:val="en-US" w:eastAsia="zh-CN"/>
        </w:rPr>
      </w:pPr>
      <w:r>
        <w:rPr>
          <w:rFonts w:hint="eastAsia"/>
          <w:lang w:val="en-US" w:eastAsia="zh-CN"/>
        </w:rPr>
        <w:t xml:space="preserve">b）形式审查记录及补正通知；  </w:t>
      </w:r>
    </w:p>
    <w:p w14:paraId="40C645A7">
      <w:pPr>
        <w:pStyle w:val="35"/>
        <w:ind w:left="0" w:leftChars="0" w:firstLine="420" w:firstLineChars="200"/>
        <w:rPr>
          <w:rFonts w:hint="eastAsia"/>
          <w:lang w:val="en-US" w:eastAsia="zh-CN"/>
        </w:rPr>
      </w:pPr>
      <w:r>
        <w:rPr>
          <w:rFonts w:hint="eastAsia"/>
          <w:lang w:val="en-US" w:eastAsia="zh-CN"/>
        </w:rPr>
        <w:t xml:space="preserve">c）现场核查记录、影像资料及核查工作底稿；  </w:t>
      </w:r>
    </w:p>
    <w:p w14:paraId="4951C298">
      <w:pPr>
        <w:pStyle w:val="35"/>
        <w:ind w:left="0" w:leftChars="0" w:firstLine="420" w:firstLineChars="200"/>
        <w:rPr>
          <w:rFonts w:hint="eastAsia"/>
          <w:lang w:val="en-US" w:eastAsia="zh-CN"/>
        </w:rPr>
      </w:pPr>
      <w:r>
        <w:rPr>
          <w:rFonts w:hint="eastAsia"/>
          <w:lang w:val="en-US" w:eastAsia="zh-CN"/>
        </w:rPr>
        <w:t xml:space="preserve">d）外部信息查询记录及核实材料；  </w:t>
      </w:r>
    </w:p>
    <w:p w14:paraId="7E4A5025">
      <w:pPr>
        <w:pStyle w:val="35"/>
        <w:ind w:left="0" w:leftChars="0" w:firstLine="420" w:firstLineChars="200"/>
        <w:rPr>
          <w:rFonts w:hint="eastAsia"/>
          <w:lang w:val="en-US" w:eastAsia="zh-CN"/>
        </w:rPr>
      </w:pPr>
      <w:r>
        <w:rPr>
          <w:rFonts w:hint="eastAsia"/>
          <w:lang w:val="en-US" w:eastAsia="zh-CN"/>
        </w:rPr>
        <w:t xml:space="preserve">e）评价打分表、评分依据及评分说明；  </w:t>
      </w:r>
    </w:p>
    <w:p w14:paraId="63CEC0AF">
      <w:pPr>
        <w:pStyle w:val="35"/>
        <w:ind w:left="0" w:leftChars="0" w:firstLine="420" w:firstLineChars="200"/>
        <w:rPr>
          <w:rFonts w:hint="eastAsia"/>
          <w:lang w:val="en-US" w:eastAsia="zh-CN"/>
        </w:rPr>
      </w:pPr>
      <w:r>
        <w:rPr>
          <w:rFonts w:hint="eastAsia"/>
          <w:lang w:val="en-US" w:eastAsia="zh-CN"/>
        </w:rPr>
        <w:t xml:space="preserve">f）评价报告及复核记录；  </w:t>
      </w:r>
    </w:p>
    <w:p w14:paraId="189AF67E">
      <w:pPr>
        <w:pStyle w:val="35"/>
        <w:ind w:left="0" w:leftChars="0" w:firstLine="420" w:firstLineChars="200"/>
        <w:rPr>
          <w:rFonts w:hint="eastAsia"/>
          <w:lang w:val="en-US" w:eastAsia="zh-CN"/>
        </w:rPr>
      </w:pPr>
      <w:r>
        <w:rPr>
          <w:rFonts w:hint="eastAsia"/>
          <w:lang w:val="en-US" w:eastAsia="zh-CN"/>
        </w:rPr>
        <w:t xml:space="preserve">g）公示记录、异议材料及处理结果；  </w:t>
      </w:r>
    </w:p>
    <w:p w14:paraId="35928E45">
      <w:pPr>
        <w:pStyle w:val="35"/>
        <w:ind w:left="0" w:leftChars="0" w:firstLine="420" w:firstLineChars="200"/>
        <w:rPr>
          <w:rFonts w:hint="eastAsia"/>
          <w:lang w:val="en-US" w:eastAsia="zh-CN"/>
        </w:rPr>
      </w:pPr>
      <w:r>
        <w:rPr>
          <w:rFonts w:hint="eastAsia"/>
          <w:lang w:val="en-US" w:eastAsia="zh-CN"/>
        </w:rPr>
        <w:t xml:space="preserve">h）信用等级证书副本及颁发记录；  </w:t>
      </w:r>
    </w:p>
    <w:p w14:paraId="79F75A25">
      <w:pPr>
        <w:pStyle w:val="35"/>
        <w:ind w:left="0" w:leftChars="0" w:firstLine="420" w:firstLineChars="200"/>
        <w:rPr>
          <w:rFonts w:hint="eastAsia"/>
          <w:lang w:val="en-US" w:eastAsia="zh-CN"/>
        </w:rPr>
      </w:pPr>
      <w:r>
        <w:rPr>
          <w:rFonts w:hint="eastAsia"/>
          <w:lang w:val="en-US" w:eastAsia="zh-CN"/>
        </w:rPr>
        <w:t>i）动态管理记录及信用修复材料（如有）。</w:t>
      </w:r>
    </w:p>
    <w:p w14:paraId="1A65CFFC">
      <w:pPr>
        <w:pStyle w:val="35"/>
        <w:ind w:left="0" w:leftChars="0" w:firstLine="0" w:firstLineChars="0"/>
        <w:rPr>
          <w:rFonts w:hint="eastAsia"/>
          <w:lang w:val="en-US" w:eastAsia="zh-CN"/>
        </w:rPr>
      </w:pPr>
    </w:p>
    <w:p w14:paraId="796836A4">
      <w:pPr>
        <w:pStyle w:val="35"/>
        <w:ind w:left="0" w:leftChars="0" w:firstLine="0" w:firstLineChars="0"/>
        <w:rPr>
          <w:rFonts w:hint="eastAsia" w:ascii="黑体" w:hAnsi="Times New Roman" w:eastAsia="黑体" w:cs="Times New Roman"/>
          <w:sz w:val="21"/>
          <w:lang w:val="en-US" w:eastAsia="zh-CN" w:bidi="ar-SA"/>
        </w:rPr>
      </w:pPr>
      <w:r>
        <w:rPr>
          <w:rFonts w:hint="eastAsia" w:ascii="黑体" w:hAnsi="Times New Roman" w:eastAsia="黑体" w:cs="Times New Roman"/>
          <w:sz w:val="21"/>
          <w:lang w:val="en-US" w:eastAsia="zh-CN" w:bidi="ar-SA"/>
        </w:rPr>
        <w:t>11.3</w:t>
      </w:r>
      <w:r>
        <w:rPr>
          <w:rFonts w:hint="eastAsia" w:ascii="黑体" w:eastAsia="黑体" w:cs="Times New Roman"/>
          <w:sz w:val="21"/>
          <w:lang w:val="en-US" w:eastAsia="zh-CN" w:bidi="ar-SA"/>
        </w:rPr>
        <w:t xml:space="preserve">  </w:t>
      </w:r>
      <w:r>
        <w:rPr>
          <w:rFonts w:hint="eastAsia" w:ascii="黑体" w:hAnsi="Times New Roman" w:eastAsia="黑体" w:cs="Times New Roman"/>
          <w:sz w:val="21"/>
          <w:lang w:val="en-US" w:eastAsia="zh-CN" w:bidi="ar-SA"/>
        </w:rPr>
        <w:t>档案保管</w:t>
      </w:r>
    </w:p>
    <w:p w14:paraId="77594895">
      <w:pPr>
        <w:pStyle w:val="35"/>
        <w:ind w:left="0" w:leftChars="0" w:firstLine="0" w:firstLineChars="0"/>
        <w:rPr>
          <w:rFonts w:hint="eastAsia"/>
          <w:lang w:val="en-US" w:eastAsia="zh-CN"/>
        </w:rPr>
      </w:pPr>
    </w:p>
    <w:p w14:paraId="5286BDD5">
      <w:pPr>
        <w:pStyle w:val="35"/>
        <w:ind w:left="0" w:leftChars="0" w:firstLine="0" w:firstLineChars="0"/>
        <w:rPr>
          <w:rFonts w:hint="eastAsia"/>
          <w:lang w:val="en-US" w:eastAsia="zh-CN"/>
        </w:rPr>
      </w:pPr>
      <w:r>
        <w:rPr>
          <w:rFonts w:hint="eastAsia" w:ascii="黑体" w:hAnsi="Times New Roman" w:eastAsia="黑体" w:cs="Times New Roman"/>
          <w:sz w:val="21"/>
          <w:lang w:val="en-US" w:eastAsia="zh-CN" w:bidi="ar-SA"/>
        </w:rPr>
        <w:t>11.3.1</w:t>
      </w:r>
      <w:r>
        <w:rPr>
          <w:rFonts w:hint="eastAsia" w:ascii="黑体" w:eastAsia="黑体" w:cs="Times New Roman"/>
          <w:sz w:val="21"/>
          <w:lang w:val="en-US" w:eastAsia="zh-CN" w:bidi="ar-SA"/>
        </w:rPr>
        <w:t xml:space="preserve">  </w:t>
      </w:r>
      <w:r>
        <w:rPr>
          <w:rFonts w:hint="eastAsia"/>
          <w:lang w:val="en-US" w:eastAsia="zh-CN"/>
        </w:rPr>
        <w:t>评价机构应采取数据安全管理措施，确保档案的完整性、保密性和可用性。电子档案应定期备份，纸质档案应存放于专用档案室，防火、防潮、防虫、防盗。</w:t>
      </w:r>
    </w:p>
    <w:p w14:paraId="59B455B0">
      <w:pPr>
        <w:pStyle w:val="35"/>
        <w:ind w:left="0" w:leftChars="0" w:firstLine="0" w:firstLineChars="0"/>
        <w:rPr>
          <w:rFonts w:hint="eastAsia"/>
          <w:lang w:val="en-US" w:eastAsia="zh-CN"/>
        </w:rPr>
      </w:pPr>
      <w:r>
        <w:rPr>
          <w:rFonts w:hint="eastAsia" w:ascii="黑体" w:hAnsi="Times New Roman" w:eastAsia="黑体" w:cs="Times New Roman"/>
          <w:sz w:val="21"/>
          <w:lang w:val="en-US" w:eastAsia="zh-CN" w:bidi="ar-SA"/>
        </w:rPr>
        <w:t>11.3.2</w:t>
      </w:r>
      <w:r>
        <w:rPr>
          <w:rFonts w:hint="eastAsia" w:ascii="黑体" w:eastAsia="黑体" w:cs="Times New Roman"/>
          <w:sz w:val="21"/>
          <w:lang w:val="en-US" w:eastAsia="zh-CN" w:bidi="ar-SA"/>
        </w:rPr>
        <w:t xml:space="preserve">  </w:t>
      </w:r>
      <w:r>
        <w:rPr>
          <w:rFonts w:hint="eastAsia"/>
          <w:lang w:val="en-US" w:eastAsia="zh-CN"/>
        </w:rPr>
        <w:t>信用评价档案保存年限应不少于5年，自评价结果确定之日起计算。涉及重大事项或争议的档案，应延长保存期限。</w:t>
      </w:r>
    </w:p>
    <w:p w14:paraId="673FDF01">
      <w:pPr>
        <w:pStyle w:val="35"/>
        <w:ind w:left="0" w:leftChars="0" w:firstLine="0" w:firstLineChars="0"/>
        <w:rPr>
          <w:rFonts w:hint="eastAsia" w:ascii="黑体" w:hAnsi="Times New Roman" w:eastAsia="黑体" w:cs="Times New Roman"/>
          <w:sz w:val="21"/>
          <w:lang w:val="en-US" w:eastAsia="zh-CN" w:bidi="ar-SA"/>
        </w:rPr>
      </w:pPr>
      <w:r>
        <w:rPr>
          <w:rFonts w:hint="eastAsia" w:ascii="黑体" w:hAnsi="Times New Roman" w:eastAsia="黑体" w:cs="Times New Roman"/>
          <w:sz w:val="21"/>
          <w:lang w:val="en-US" w:eastAsia="zh-CN" w:bidi="ar-SA"/>
        </w:rPr>
        <w:t>11.3.3</w:t>
      </w:r>
      <w:r>
        <w:rPr>
          <w:rFonts w:hint="eastAsia" w:ascii="黑体" w:eastAsia="黑体" w:cs="Times New Roman"/>
          <w:sz w:val="21"/>
          <w:lang w:val="en-US" w:eastAsia="zh-CN" w:bidi="ar-SA"/>
        </w:rPr>
        <w:t xml:space="preserve">  </w:t>
      </w:r>
      <w:r>
        <w:rPr>
          <w:rFonts w:hint="eastAsia"/>
          <w:lang w:val="en-US" w:eastAsia="zh-CN"/>
        </w:rPr>
        <w:t>评价机构应制定档案查阅、借阅、复制、销毁等管理制度，明确审批权限和程序。未经批准，不得对外提供档案内容。</w:t>
      </w:r>
    </w:p>
    <w:p w14:paraId="27E4C7AB">
      <w:pPr>
        <w:pStyle w:val="35"/>
        <w:ind w:left="0" w:leftChars="0" w:firstLine="0" w:firstLineChars="0"/>
        <w:rPr>
          <w:rFonts w:hint="eastAsia" w:ascii="黑体" w:hAnsi="Times New Roman" w:eastAsia="黑体" w:cs="Times New Roman"/>
          <w:sz w:val="21"/>
          <w:lang w:val="en-US" w:eastAsia="zh-CN" w:bidi="ar-SA"/>
        </w:rPr>
      </w:pPr>
      <w:r>
        <w:rPr>
          <w:rFonts w:hint="eastAsia" w:ascii="黑体" w:hAnsi="Times New Roman" w:eastAsia="黑体" w:cs="Times New Roman"/>
          <w:sz w:val="21"/>
          <w:lang w:val="en-US" w:eastAsia="zh-CN" w:bidi="ar-SA"/>
        </w:rPr>
        <w:t xml:space="preserve"> </w:t>
      </w:r>
    </w:p>
    <w:p w14:paraId="4DB76B76">
      <w:pPr>
        <w:pStyle w:val="35"/>
        <w:ind w:left="0" w:leftChars="0" w:firstLine="0" w:firstLineChars="0"/>
        <w:rPr>
          <w:rFonts w:hint="eastAsia" w:ascii="黑体" w:hAnsi="Times New Roman" w:eastAsia="黑体" w:cs="Times New Roman"/>
          <w:sz w:val="21"/>
          <w:lang w:val="en-US" w:eastAsia="zh-CN" w:bidi="ar-SA"/>
        </w:rPr>
      </w:pPr>
      <w:r>
        <w:rPr>
          <w:rFonts w:hint="eastAsia" w:ascii="黑体" w:hAnsi="Times New Roman" w:eastAsia="黑体" w:cs="Times New Roman"/>
          <w:sz w:val="21"/>
          <w:lang w:val="en-US" w:eastAsia="zh-CN" w:bidi="ar-SA"/>
        </w:rPr>
        <w:t>11.4 信息安全</w:t>
      </w:r>
    </w:p>
    <w:p w14:paraId="086BBBB9">
      <w:pPr>
        <w:pStyle w:val="35"/>
        <w:ind w:left="0" w:leftChars="0" w:firstLine="0" w:firstLineChars="0"/>
        <w:rPr>
          <w:rFonts w:hint="eastAsia"/>
          <w:lang w:val="en-US" w:eastAsia="zh-CN"/>
        </w:rPr>
      </w:pPr>
    </w:p>
    <w:p w14:paraId="30E14DD1">
      <w:pPr>
        <w:pStyle w:val="35"/>
        <w:ind w:left="0" w:leftChars="0" w:firstLine="0" w:firstLineChars="0"/>
        <w:rPr>
          <w:rFonts w:hint="eastAsia"/>
          <w:lang w:val="en-US" w:eastAsia="zh-CN"/>
        </w:rPr>
      </w:pPr>
      <w:r>
        <w:rPr>
          <w:rFonts w:hint="eastAsia" w:ascii="黑体" w:hAnsi="Times New Roman" w:eastAsia="黑体" w:cs="Times New Roman"/>
          <w:sz w:val="21"/>
          <w:lang w:val="en-US" w:eastAsia="zh-CN" w:bidi="ar-SA"/>
        </w:rPr>
        <w:t>11.4.1</w:t>
      </w:r>
      <w:r>
        <w:rPr>
          <w:rFonts w:hint="eastAsia" w:ascii="黑体" w:eastAsia="黑体" w:cs="Times New Roman"/>
          <w:sz w:val="21"/>
          <w:lang w:val="en-US" w:eastAsia="zh-CN" w:bidi="ar-SA"/>
        </w:rPr>
        <w:t xml:space="preserve">  </w:t>
      </w:r>
      <w:r>
        <w:rPr>
          <w:rFonts w:hint="eastAsia"/>
          <w:lang w:val="en-US" w:eastAsia="zh-CN"/>
        </w:rPr>
        <w:t>评价机构应建立信息安全管理制度，明确信息采集、传输、存储、处理、交换、销毁全生命周期的安全要求。</w:t>
      </w:r>
    </w:p>
    <w:p w14:paraId="4F431898">
      <w:pPr>
        <w:pStyle w:val="35"/>
        <w:ind w:left="0" w:leftChars="0" w:firstLine="0" w:firstLineChars="0"/>
        <w:rPr>
          <w:rFonts w:hint="eastAsia"/>
          <w:lang w:val="en-US" w:eastAsia="zh-CN"/>
        </w:rPr>
      </w:pPr>
      <w:r>
        <w:rPr>
          <w:rFonts w:hint="eastAsia" w:ascii="黑体" w:hAnsi="Times New Roman" w:eastAsia="黑体" w:cs="Times New Roman"/>
          <w:sz w:val="21"/>
          <w:lang w:val="en-US" w:eastAsia="zh-CN" w:bidi="ar-SA"/>
        </w:rPr>
        <w:t>11.4.2</w:t>
      </w:r>
      <w:r>
        <w:rPr>
          <w:rFonts w:hint="eastAsia" w:ascii="黑体" w:eastAsia="黑体" w:cs="Times New Roman"/>
          <w:sz w:val="21"/>
          <w:lang w:val="en-US" w:eastAsia="zh-CN" w:bidi="ar-SA"/>
        </w:rPr>
        <w:t xml:space="preserve">  </w:t>
      </w:r>
      <w:r>
        <w:rPr>
          <w:rFonts w:hint="eastAsia"/>
          <w:lang w:val="en-US" w:eastAsia="zh-CN"/>
        </w:rPr>
        <w:t>评价机构应采用加密、脱敏、访问控制等技术手段保护企业信用信息，防止信息泄露、篡改、丢失和滥用。</w:t>
      </w:r>
    </w:p>
    <w:p w14:paraId="128D1B70">
      <w:pPr>
        <w:pStyle w:val="35"/>
        <w:ind w:left="0" w:leftChars="0" w:firstLine="0" w:firstLineChars="0"/>
        <w:rPr>
          <w:rFonts w:hint="eastAsia"/>
          <w:lang w:val="en-US" w:eastAsia="zh-CN"/>
        </w:rPr>
      </w:pPr>
      <w:r>
        <w:rPr>
          <w:rFonts w:hint="eastAsia" w:ascii="黑体" w:hAnsi="Times New Roman" w:eastAsia="黑体" w:cs="Times New Roman"/>
          <w:sz w:val="21"/>
          <w:lang w:val="en-US" w:eastAsia="zh-CN" w:bidi="ar-SA"/>
        </w:rPr>
        <w:t>11.4.3</w:t>
      </w:r>
      <w:r>
        <w:rPr>
          <w:rFonts w:hint="eastAsia" w:ascii="黑体" w:eastAsia="黑体" w:cs="Times New Roman"/>
          <w:sz w:val="21"/>
          <w:lang w:val="en-US" w:eastAsia="zh-CN" w:bidi="ar-SA"/>
        </w:rPr>
        <w:t xml:space="preserve">  </w:t>
      </w:r>
      <w:r>
        <w:rPr>
          <w:rFonts w:hint="eastAsia"/>
          <w:lang w:val="en-US" w:eastAsia="zh-CN"/>
        </w:rPr>
        <w:t>评价机构及其工作人员应对评价过程中知悉的企业商业秘密、个人隐私、核心技术等信息严格保密，不得用于与评价无关的目的，不得向第三方非法提供或出售。违反保密义务的，应依法承担法律责任。</w:t>
      </w:r>
    </w:p>
    <w:p w14:paraId="531F3136">
      <w:pPr>
        <w:pStyle w:val="35"/>
        <w:ind w:left="0" w:leftChars="0" w:firstLine="0" w:firstLineChars="0"/>
        <w:rPr>
          <w:rFonts w:hint="eastAsia"/>
          <w:lang w:val="en-US" w:eastAsia="zh-CN"/>
        </w:rPr>
      </w:pPr>
    </w:p>
    <w:p w14:paraId="0A8F0BB8">
      <w:pPr>
        <w:pStyle w:val="35"/>
        <w:ind w:left="0" w:leftChars="0" w:firstLine="0" w:firstLineChars="0"/>
        <w:rPr>
          <w:rFonts w:hint="eastAsia" w:ascii="黑体" w:hAnsi="Times New Roman" w:eastAsia="黑体" w:cs="Times New Roman"/>
          <w:sz w:val="21"/>
          <w:lang w:val="en-US" w:eastAsia="zh-CN" w:bidi="ar-SA"/>
        </w:rPr>
      </w:pPr>
      <w:r>
        <w:rPr>
          <w:rFonts w:hint="eastAsia" w:ascii="黑体" w:hAnsi="Times New Roman" w:eastAsia="黑体" w:cs="Times New Roman"/>
          <w:sz w:val="21"/>
          <w:lang w:val="en-US" w:eastAsia="zh-CN" w:bidi="ar-SA"/>
        </w:rPr>
        <w:t xml:space="preserve"> 12</w:t>
      </w:r>
      <w:r>
        <w:rPr>
          <w:rFonts w:hint="eastAsia" w:ascii="黑体" w:eastAsia="黑体" w:cs="Times New Roman"/>
          <w:sz w:val="21"/>
          <w:lang w:val="en-US" w:eastAsia="zh-CN" w:bidi="ar-SA"/>
        </w:rPr>
        <w:t xml:space="preserve">  </w:t>
      </w:r>
      <w:r>
        <w:rPr>
          <w:rFonts w:hint="eastAsia" w:ascii="黑体" w:hAnsi="Times New Roman" w:eastAsia="黑体" w:cs="Times New Roman"/>
          <w:sz w:val="21"/>
          <w:lang w:val="en-US" w:eastAsia="zh-CN" w:bidi="ar-SA"/>
        </w:rPr>
        <w:t>动态管理与信用修复</w:t>
      </w:r>
    </w:p>
    <w:p w14:paraId="01AB52E5">
      <w:pPr>
        <w:pStyle w:val="35"/>
        <w:ind w:left="0" w:leftChars="0" w:firstLine="0" w:firstLineChars="0"/>
        <w:rPr>
          <w:rFonts w:hint="eastAsia"/>
          <w:lang w:val="en-US" w:eastAsia="zh-CN"/>
        </w:rPr>
      </w:pPr>
    </w:p>
    <w:p w14:paraId="04A73F3F">
      <w:pPr>
        <w:pStyle w:val="35"/>
        <w:ind w:left="0" w:leftChars="0" w:firstLine="0" w:firstLineChars="0"/>
        <w:rPr>
          <w:rFonts w:hint="eastAsia" w:ascii="黑体" w:hAnsi="Times New Roman" w:eastAsia="黑体" w:cs="Times New Roman"/>
          <w:sz w:val="21"/>
          <w:lang w:val="en-US" w:eastAsia="zh-CN" w:bidi="ar-SA"/>
        </w:rPr>
      </w:pPr>
      <w:r>
        <w:rPr>
          <w:rFonts w:hint="eastAsia" w:ascii="黑体" w:hAnsi="Times New Roman" w:eastAsia="黑体" w:cs="Times New Roman"/>
          <w:sz w:val="21"/>
          <w:lang w:val="en-US" w:eastAsia="zh-CN" w:bidi="ar-SA"/>
        </w:rPr>
        <w:t xml:space="preserve"> 12.1</w:t>
      </w:r>
      <w:r>
        <w:rPr>
          <w:rFonts w:hint="eastAsia" w:ascii="黑体" w:eastAsia="黑体" w:cs="Times New Roman"/>
          <w:sz w:val="21"/>
          <w:lang w:val="en-US" w:eastAsia="zh-CN" w:bidi="ar-SA"/>
        </w:rPr>
        <w:t xml:space="preserve">  </w:t>
      </w:r>
      <w:r>
        <w:rPr>
          <w:rFonts w:hint="eastAsia" w:ascii="黑体" w:hAnsi="Times New Roman" w:eastAsia="黑体" w:cs="Times New Roman"/>
          <w:sz w:val="21"/>
          <w:lang w:val="en-US" w:eastAsia="zh-CN" w:bidi="ar-SA"/>
        </w:rPr>
        <w:t>动态管理原则</w:t>
      </w:r>
    </w:p>
    <w:p w14:paraId="6AB2F1DE">
      <w:pPr>
        <w:pStyle w:val="35"/>
        <w:ind w:left="0" w:leftChars="0" w:firstLine="0" w:firstLineChars="0"/>
        <w:rPr>
          <w:rFonts w:hint="eastAsia"/>
          <w:lang w:val="en-US" w:eastAsia="zh-CN"/>
        </w:rPr>
      </w:pPr>
    </w:p>
    <w:p w14:paraId="3FC974A8">
      <w:pPr>
        <w:pStyle w:val="35"/>
        <w:ind w:left="0" w:leftChars="0" w:firstLine="420" w:firstLineChars="200"/>
        <w:rPr>
          <w:rFonts w:hint="eastAsia"/>
          <w:lang w:val="en-US" w:eastAsia="zh-CN"/>
        </w:rPr>
      </w:pPr>
      <w:r>
        <w:rPr>
          <w:rFonts w:hint="eastAsia"/>
          <w:lang w:val="en-US" w:eastAsia="zh-CN"/>
        </w:rPr>
        <w:t>评价机构应对信用等级实行动态管理，根据企业信用信息的变更及时调整信用状况，确保评价结果真实反映企业当前信用水平。</w:t>
      </w:r>
    </w:p>
    <w:p w14:paraId="4700E169">
      <w:pPr>
        <w:pStyle w:val="35"/>
        <w:ind w:left="0" w:leftChars="0" w:firstLine="0" w:firstLineChars="0"/>
        <w:rPr>
          <w:rFonts w:hint="eastAsia"/>
          <w:lang w:val="en-US" w:eastAsia="zh-CN"/>
        </w:rPr>
      </w:pPr>
    </w:p>
    <w:p w14:paraId="09C9C9C9">
      <w:pPr>
        <w:pStyle w:val="35"/>
        <w:ind w:left="0" w:leftChars="0" w:firstLine="0" w:firstLineChars="0"/>
        <w:rPr>
          <w:rFonts w:hint="eastAsia" w:ascii="黑体" w:hAnsi="Times New Roman" w:eastAsia="黑体" w:cs="Times New Roman"/>
          <w:sz w:val="21"/>
          <w:lang w:val="en-US" w:eastAsia="zh-CN" w:bidi="ar-SA"/>
        </w:rPr>
      </w:pPr>
      <w:r>
        <w:rPr>
          <w:rFonts w:hint="eastAsia" w:ascii="黑体" w:hAnsi="Times New Roman" w:eastAsia="黑体" w:cs="Times New Roman"/>
          <w:sz w:val="21"/>
          <w:lang w:val="en-US" w:eastAsia="zh-CN" w:bidi="ar-SA"/>
        </w:rPr>
        <w:t>12.2</w:t>
      </w:r>
      <w:r>
        <w:rPr>
          <w:rFonts w:hint="eastAsia" w:ascii="黑体" w:eastAsia="黑体" w:cs="Times New Roman"/>
          <w:sz w:val="21"/>
          <w:lang w:val="en-US" w:eastAsia="zh-CN" w:bidi="ar-SA"/>
        </w:rPr>
        <w:t xml:space="preserve">  </w:t>
      </w:r>
      <w:r>
        <w:rPr>
          <w:rFonts w:hint="eastAsia" w:ascii="黑体" w:hAnsi="Times New Roman" w:eastAsia="黑体" w:cs="Times New Roman"/>
          <w:sz w:val="21"/>
          <w:lang w:val="en-US" w:eastAsia="zh-CN" w:bidi="ar-SA"/>
        </w:rPr>
        <w:t>等级有效期</w:t>
      </w:r>
    </w:p>
    <w:p w14:paraId="75FE8536">
      <w:pPr>
        <w:pStyle w:val="35"/>
        <w:ind w:left="0" w:leftChars="0" w:firstLine="0" w:firstLineChars="0"/>
        <w:rPr>
          <w:rFonts w:hint="eastAsia"/>
          <w:lang w:val="en-US" w:eastAsia="zh-CN"/>
        </w:rPr>
      </w:pPr>
    </w:p>
    <w:p w14:paraId="2ECE6EBF">
      <w:pPr>
        <w:pStyle w:val="35"/>
        <w:ind w:left="0" w:leftChars="0" w:firstLine="0" w:firstLineChars="0"/>
        <w:rPr>
          <w:rFonts w:hint="eastAsia"/>
          <w:lang w:val="en-US" w:eastAsia="zh-CN"/>
        </w:rPr>
      </w:pPr>
      <w:r>
        <w:rPr>
          <w:rFonts w:hint="eastAsia" w:ascii="黑体" w:hAnsi="Times New Roman" w:eastAsia="黑体" w:cs="Times New Roman"/>
          <w:sz w:val="21"/>
          <w:lang w:val="en-US" w:eastAsia="zh-CN" w:bidi="ar-SA"/>
        </w:rPr>
        <w:t>12.2.1</w:t>
      </w:r>
      <w:r>
        <w:rPr>
          <w:rFonts w:hint="eastAsia" w:ascii="黑体" w:eastAsia="黑体" w:cs="Times New Roman"/>
          <w:sz w:val="21"/>
          <w:lang w:val="en-US" w:eastAsia="zh-CN" w:bidi="ar-SA"/>
        </w:rPr>
        <w:t xml:space="preserve">  </w:t>
      </w:r>
      <w:r>
        <w:rPr>
          <w:rFonts w:hint="eastAsia"/>
          <w:lang w:val="en-US" w:eastAsia="zh-CN"/>
        </w:rPr>
        <w:t>信用等级有效期自评价结果公示期满之日起算，有效期 1 年。有效期届满前一个月，评价机构应通知企业重新申请评价。</w:t>
      </w:r>
    </w:p>
    <w:p w14:paraId="52E2C7A4">
      <w:pPr>
        <w:pStyle w:val="35"/>
        <w:ind w:left="0" w:leftChars="0" w:firstLine="0" w:firstLineChars="0"/>
        <w:rPr>
          <w:rFonts w:hint="eastAsia"/>
          <w:lang w:val="en-US" w:eastAsia="zh-CN"/>
        </w:rPr>
      </w:pPr>
      <w:r>
        <w:rPr>
          <w:rFonts w:hint="eastAsia" w:ascii="黑体" w:hAnsi="Times New Roman" w:eastAsia="黑体" w:cs="Times New Roman"/>
          <w:sz w:val="21"/>
          <w:lang w:val="en-US" w:eastAsia="zh-CN" w:bidi="ar-SA"/>
        </w:rPr>
        <w:t>12.2.2</w:t>
      </w:r>
      <w:r>
        <w:rPr>
          <w:rFonts w:hint="eastAsia" w:ascii="黑体" w:eastAsia="黑体" w:cs="Times New Roman"/>
          <w:sz w:val="21"/>
          <w:lang w:val="en-US" w:eastAsia="zh-CN" w:bidi="ar-SA"/>
        </w:rPr>
        <w:t xml:space="preserve">  </w:t>
      </w:r>
      <w:r>
        <w:rPr>
          <w:rFonts w:hint="eastAsia"/>
          <w:lang w:val="en-US" w:eastAsia="zh-CN"/>
        </w:rPr>
        <w:t>有效期内，企业可申请升级评价。升级评价程序与初次评价相同，评价结果自公示期满之日起生效，有效期重新计算。</w:t>
      </w:r>
    </w:p>
    <w:p w14:paraId="774D4A02">
      <w:pPr>
        <w:pStyle w:val="35"/>
        <w:ind w:left="0" w:leftChars="0" w:firstLine="0" w:firstLineChars="0"/>
        <w:rPr>
          <w:rFonts w:hint="eastAsia"/>
          <w:lang w:val="en-US" w:eastAsia="zh-CN"/>
        </w:rPr>
      </w:pPr>
      <w:r>
        <w:rPr>
          <w:rFonts w:hint="eastAsia" w:ascii="黑体" w:hAnsi="Times New Roman" w:eastAsia="黑体" w:cs="Times New Roman"/>
          <w:sz w:val="21"/>
          <w:lang w:val="en-US" w:eastAsia="zh-CN" w:bidi="ar-SA"/>
        </w:rPr>
        <w:t>12.2.3</w:t>
      </w:r>
      <w:r>
        <w:rPr>
          <w:rFonts w:hint="eastAsia" w:ascii="黑体" w:eastAsia="黑体" w:cs="Times New Roman"/>
          <w:sz w:val="21"/>
          <w:lang w:val="en-US" w:eastAsia="zh-CN" w:bidi="ar-SA"/>
        </w:rPr>
        <w:t xml:space="preserve">  </w:t>
      </w:r>
      <w:r>
        <w:rPr>
          <w:rFonts w:hint="eastAsia"/>
          <w:lang w:val="en-US" w:eastAsia="zh-CN"/>
        </w:rPr>
        <w:t>有效期内，企业发生一般性信用信息变更（如法定代表人变更、注册资本变更、拍卖师正常变动、经营范围调整等），应在变更发生后30日内向评价机构报备，评价机构应在15个工作日内完成信息更新。</w:t>
      </w:r>
    </w:p>
    <w:p w14:paraId="699DCDB0">
      <w:pPr>
        <w:pStyle w:val="35"/>
        <w:ind w:left="0" w:leftChars="0" w:firstLine="0" w:firstLineChars="0"/>
        <w:rPr>
          <w:rFonts w:hint="eastAsia"/>
          <w:lang w:val="en-US" w:eastAsia="zh-CN"/>
        </w:rPr>
      </w:pPr>
      <w:r>
        <w:rPr>
          <w:rFonts w:hint="eastAsia" w:ascii="黑体" w:hAnsi="Times New Roman" w:eastAsia="黑体" w:cs="Times New Roman"/>
          <w:sz w:val="21"/>
          <w:lang w:val="en-US" w:eastAsia="zh-CN" w:bidi="ar-SA"/>
        </w:rPr>
        <w:t>12.2.4</w:t>
      </w:r>
      <w:r>
        <w:rPr>
          <w:rFonts w:hint="eastAsia" w:ascii="黑体" w:eastAsia="黑体" w:cs="Times New Roman"/>
          <w:sz w:val="21"/>
          <w:lang w:val="en-US" w:eastAsia="zh-CN" w:bidi="ar-SA"/>
        </w:rPr>
        <w:t xml:space="preserve">  </w:t>
      </w:r>
      <w:r>
        <w:rPr>
          <w:rFonts w:hint="eastAsia"/>
          <w:lang w:val="en-US" w:eastAsia="zh-CN"/>
        </w:rPr>
        <w:t>有效期内，企业发生重大变更（如企业合并、分立、破产、重大股权变更、主要拍卖师集体离职等）的，应自变更发生之日起30日内向评价机构报告，并重新申请评价。</w:t>
      </w:r>
    </w:p>
    <w:p w14:paraId="7C59B9F4">
      <w:pPr>
        <w:pStyle w:val="35"/>
        <w:ind w:left="0" w:leftChars="0" w:firstLine="0" w:firstLineChars="0"/>
        <w:rPr>
          <w:rFonts w:hint="eastAsia"/>
          <w:lang w:val="en-US" w:eastAsia="zh-CN"/>
        </w:rPr>
      </w:pPr>
    </w:p>
    <w:p w14:paraId="0A4B154C">
      <w:pPr>
        <w:pStyle w:val="35"/>
        <w:ind w:left="0" w:leftChars="0" w:firstLine="0" w:firstLineChars="0"/>
        <w:rPr>
          <w:rFonts w:hint="eastAsia"/>
          <w:lang w:val="en-US" w:eastAsia="zh-CN"/>
        </w:rPr>
      </w:pPr>
      <w:r>
        <w:rPr>
          <w:rFonts w:hint="eastAsia"/>
          <w:lang w:val="en-US" w:eastAsia="zh-CN"/>
        </w:rPr>
        <w:t>1</w:t>
      </w:r>
      <w:r>
        <w:rPr>
          <w:rFonts w:hint="eastAsia" w:ascii="黑体" w:hAnsi="Times New Roman" w:eastAsia="黑体" w:cs="Times New Roman"/>
          <w:sz w:val="21"/>
          <w:lang w:val="en-US" w:eastAsia="zh-CN" w:bidi="ar-SA"/>
        </w:rPr>
        <w:t>2.3</w:t>
      </w:r>
      <w:r>
        <w:rPr>
          <w:rFonts w:hint="eastAsia" w:ascii="黑体" w:eastAsia="黑体" w:cs="Times New Roman"/>
          <w:sz w:val="21"/>
          <w:lang w:val="en-US" w:eastAsia="zh-CN" w:bidi="ar-SA"/>
        </w:rPr>
        <w:t xml:space="preserve">  </w:t>
      </w:r>
      <w:r>
        <w:rPr>
          <w:rFonts w:hint="eastAsia" w:ascii="黑体" w:hAnsi="Times New Roman" w:eastAsia="黑体" w:cs="Times New Roman"/>
          <w:sz w:val="21"/>
          <w:lang w:val="en-US" w:eastAsia="zh-CN" w:bidi="ar-SA"/>
        </w:rPr>
        <w:t>等级调整</w:t>
      </w:r>
    </w:p>
    <w:p w14:paraId="6DC48016">
      <w:pPr>
        <w:pStyle w:val="35"/>
        <w:ind w:left="0" w:leftChars="0" w:firstLine="0" w:firstLineChars="0"/>
        <w:rPr>
          <w:rFonts w:hint="eastAsia"/>
          <w:lang w:val="en-US" w:eastAsia="zh-CN"/>
        </w:rPr>
      </w:pPr>
    </w:p>
    <w:p w14:paraId="41EA39DB">
      <w:pPr>
        <w:pStyle w:val="35"/>
        <w:ind w:left="0" w:leftChars="0" w:firstLine="0" w:firstLineChars="0"/>
        <w:rPr>
          <w:rFonts w:hint="eastAsia"/>
          <w:lang w:val="en-US" w:eastAsia="zh-CN"/>
        </w:rPr>
      </w:pPr>
      <w:r>
        <w:rPr>
          <w:rFonts w:hint="eastAsia" w:ascii="黑体" w:hAnsi="Times New Roman" w:eastAsia="黑体" w:cs="Times New Roman"/>
          <w:sz w:val="21"/>
          <w:lang w:val="en-US" w:eastAsia="zh-CN" w:bidi="ar-SA"/>
        </w:rPr>
        <w:t>12.3.1</w:t>
      </w:r>
      <w:r>
        <w:rPr>
          <w:rFonts w:hint="eastAsia" w:ascii="黑体" w:eastAsia="黑体" w:cs="Times New Roman"/>
          <w:sz w:val="21"/>
          <w:lang w:val="en-US" w:eastAsia="zh-CN" w:bidi="ar-SA"/>
        </w:rPr>
        <w:t xml:space="preserve">  </w:t>
      </w:r>
      <w:r>
        <w:rPr>
          <w:rFonts w:hint="eastAsia"/>
          <w:lang w:val="en-US" w:eastAsia="zh-CN"/>
        </w:rPr>
        <w:t>有效期内，企业发生严重违法违规行为，符合一票否决指标规定的，评价机构应即行取消其原信用等级，降为D级，收回信用等级证书，并向社会公布。被取消等级的企业三年内不得重新申请评价。</w:t>
      </w:r>
    </w:p>
    <w:p w14:paraId="4E31745D">
      <w:pPr>
        <w:pStyle w:val="35"/>
        <w:ind w:left="0" w:leftChars="0" w:firstLine="0" w:firstLineChars="0"/>
        <w:rPr>
          <w:rFonts w:hint="eastAsia"/>
          <w:lang w:val="en-US" w:eastAsia="zh-CN"/>
        </w:rPr>
      </w:pPr>
      <w:r>
        <w:rPr>
          <w:rFonts w:hint="eastAsia" w:ascii="黑体" w:hAnsi="Times New Roman" w:eastAsia="黑体" w:cs="Times New Roman"/>
          <w:sz w:val="21"/>
          <w:lang w:val="en-US" w:eastAsia="zh-CN" w:bidi="ar-SA"/>
        </w:rPr>
        <w:t>12.3.2</w:t>
      </w:r>
      <w:r>
        <w:rPr>
          <w:rFonts w:hint="eastAsia" w:ascii="黑体" w:eastAsia="黑体" w:cs="Times New Roman"/>
          <w:sz w:val="21"/>
          <w:lang w:val="en-US" w:eastAsia="zh-CN" w:bidi="ar-SA"/>
        </w:rPr>
        <w:t xml:space="preserve">  </w:t>
      </w:r>
      <w:r>
        <w:rPr>
          <w:rFonts w:hint="eastAsia"/>
          <w:lang w:val="en-US" w:eastAsia="zh-CN"/>
        </w:rPr>
        <w:t>有效期内，企业发生一般性负面信用信息（如受到行政处罚、发生一般性投诉纠纷、财务指标明显恶化等），评价机构应根据情节轻重，给予警示、降级或取消等级处理，并书面通知企业。</w:t>
      </w:r>
    </w:p>
    <w:p w14:paraId="33834B42">
      <w:pPr>
        <w:pStyle w:val="35"/>
        <w:ind w:left="0" w:leftChars="0" w:firstLine="0" w:firstLineChars="0"/>
        <w:rPr>
          <w:rFonts w:hint="eastAsia"/>
          <w:lang w:val="en-US" w:eastAsia="zh-CN"/>
        </w:rPr>
      </w:pPr>
      <w:r>
        <w:rPr>
          <w:rFonts w:hint="eastAsia" w:ascii="黑体" w:hAnsi="Times New Roman" w:eastAsia="黑体" w:cs="Times New Roman"/>
          <w:sz w:val="21"/>
          <w:lang w:val="en-US" w:eastAsia="zh-CN" w:bidi="ar-SA"/>
        </w:rPr>
        <w:t>12.3.3</w:t>
      </w:r>
      <w:r>
        <w:rPr>
          <w:rFonts w:hint="eastAsia" w:ascii="黑体" w:eastAsia="黑体" w:cs="Times New Roman"/>
          <w:sz w:val="21"/>
          <w:lang w:val="en-US" w:eastAsia="zh-CN" w:bidi="ar-SA"/>
        </w:rPr>
        <w:t xml:space="preserve">  </w:t>
      </w:r>
      <w:r>
        <w:rPr>
          <w:rFonts w:hint="eastAsia"/>
          <w:lang w:val="en-US" w:eastAsia="zh-CN"/>
        </w:rPr>
        <w:t>评价机构应建立信用预警机制，对可能出现信用风险的企业进行风险提示，督促企业及时整改。</w:t>
      </w:r>
    </w:p>
    <w:p w14:paraId="163EDF72">
      <w:pPr>
        <w:pStyle w:val="35"/>
        <w:ind w:left="0" w:leftChars="0" w:firstLine="0" w:firstLineChars="0"/>
        <w:rPr>
          <w:rFonts w:hint="eastAsia"/>
          <w:lang w:val="en-US" w:eastAsia="zh-CN"/>
        </w:rPr>
      </w:pPr>
    </w:p>
    <w:p w14:paraId="39F94062">
      <w:pPr>
        <w:pStyle w:val="35"/>
        <w:ind w:left="0" w:leftChars="0" w:firstLine="0" w:firstLineChars="0"/>
        <w:rPr>
          <w:rFonts w:hint="eastAsia" w:ascii="黑体" w:hAnsi="Times New Roman" w:eastAsia="黑体" w:cs="Times New Roman"/>
          <w:sz w:val="21"/>
          <w:lang w:val="en-US" w:eastAsia="zh-CN" w:bidi="ar-SA"/>
        </w:rPr>
      </w:pPr>
      <w:r>
        <w:rPr>
          <w:rFonts w:hint="eastAsia" w:ascii="黑体" w:hAnsi="Times New Roman" w:eastAsia="黑体" w:cs="Times New Roman"/>
          <w:sz w:val="21"/>
          <w:lang w:val="en-US" w:eastAsia="zh-CN" w:bidi="ar-SA"/>
        </w:rPr>
        <w:t>12.4</w:t>
      </w:r>
      <w:r>
        <w:rPr>
          <w:rFonts w:hint="eastAsia" w:ascii="黑体" w:eastAsia="黑体" w:cs="Times New Roman"/>
          <w:sz w:val="21"/>
          <w:lang w:val="en-US" w:eastAsia="zh-CN" w:bidi="ar-SA"/>
        </w:rPr>
        <w:t xml:space="preserve">  </w:t>
      </w:r>
      <w:r>
        <w:rPr>
          <w:rFonts w:hint="eastAsia" w:ascii="黑体" w:hAnsi="Times New Roman" w:eastAsia="黑体" w:cs="Times New Roman"/>
          <w:sz w:val="21"/>
          <w:lang w:val="en-US" w:eastAsia="zh-CN" w:bidi="ar-SA"/>
        </w:rPr>
        <w:t>信用修复</w:t>
      </w:r>
    </w:p>
    <w:p w14:paraId="16292CC9">
      <w:pPr>
        <w:pStyle w:val="35"/>
        <w:ind w:left="0" w:leftChars="0" w:firstLine="0" w:firstLineChars="0"/>
        <w:rPr>
          <w:rFonts w:hint="eastAsia"/>
          <w:lang w:val="en-US" w:eastAsia="zh-CN"/>
        </w:rPr>
      </w:pPr>
    </w:p>
    <w:p w14:paraId="38358539">
      <w:pPr>
        <w:pStyle w:val="35"/>
        <w:ind w:left="0" w:leftChars="0" w:firstLine="0" w:firstLineChars="0"/>
        <w:rPr>
          <w:rFonts w:hint="eastAsia"/>
          <w:lang w:val="en-US" w:eastAsia="zh-CN"/>
        </w:rPr>
      </w:pPr>
      <w:r>
        <w:rPr>
          <w:rFonts w:hint="eastAsia" w:ascii="黑体" w:hAnsi="Times New Roman" w:eastAsia="黑体" w:cs="Times New Roman"/>
          <w:sz w:val="21"/>
          <w:lang w:val="en-US" w:eastAsia="zh-CN" w:bidi="ar-SA"/>
        </w:rPr>
        <w:t>12.4.1</w:t>
      </w:r>
      <w:r>
        <w:rPr>
          <w:rFonts w:hint="eastAsia" w:ascii="黑体" w:eastAsia="黑体" w:cs="Times New Roman"/>
          <w:sz w:val="21"/>
          <w:lang w:val="en-US" w:eastAsia="zh-CN" w:bidi="ar-SA"/>
        </w:rPr>
        <w:t xml:space="preserve">  </w:t>
      </w:r>
      <w:r>
        <w:rPr>
          <w:rFonts w:hint="eastAsia"/>
          <w:lang w:val="en-US" w:eastAsia="zh-CN"/>
        </w:rPr>
        <w:t>因一般性负面信息被降级或警示的企业，在主动纠正失信行为、消除不良影响后，可向评价机构申请信用修复。</w:t>
      </w:r>
    </w:p>
    <w:p w14:paraId="48D70DC0">
      <w:pPr>
        <w:pStyle w:val="35"/>
        <w:ind w:left="0" w:leftChars="0" w:firstLine="0" w:firstLineChars="0"/>
        <w:rPr>
          <w:rFonts w:hint="eastAsia"/>
          <w:lang w:val="en-US" w:eastAsia="zh-CN"/>
        </w:rPr>
      </w:pPr>
      <w:r>
        <w:rPr>
          <w:rFonts w:hint="eastAsia" w:ascii="黑体" w:hAnsi="Times New Roman" w:eastAsia="黑体" w:cs="Times New Roman"/>
          <w:sz w:val="21"/>
          <w:lang w:val="en-US" w:eastAsia="zh-CN" w:bidi="ar-SA"/>
        </w:rPr>
        <w:t>12.4.2</w:t>
      </w:r>
      <w:r>
        <w:rPr>
          <w:rFonts w:hint="eastAsia" w:ascii="黑体" w:eastAsia="黑体" w:cs="Times New Roman"/>
          <w:sz w:val="21"/>
          <w:lang w:val="en-US" w:eastAsia="zh-CN" w:bidi="ar-SA"/>
        </w:rPr>
        <w:t xml:space="preserve">  </w:t>
      </w:r>
      <w:r>
        <w:rPr>
          <w:rFonts w:hint="eastAsia"/>
          <w:lang w:val="en-US" w:eastAsia="zh-CN"/>
        </w:rPr>
        <w:t>信用修复应满足以下条件：</w:t>
      </w:r>
    </w:p>
    <w:p w14:paraId="1C3D3A63">
      <w:pPr>
        <w:pStyle w:val="35"/>
        <w:ind w:left="0" w:leftChars="0" w:firstLine="420" w:firstLineChars="200"/>
        <w:rPr>
          <w:rFonts w:hint="eastAsia"/>
          <w:lang w:val="en-US" w:eastAsia="zh-CN"/>
        </w:rPr>
      </w:pPr>
      <w:r>
        <w:rPr>
          <w:rFonts w:hint="eastAsia"/>
          <w:lang w:val="en-US" w:eastAsia="zh-CN"/>
        </w:rPr>
        <w:t xml:space="preserve">a）失信行为已纠正，相关义务已履行完毕；  </w:t>
      </w:r>
    </w:p>
    <w:p w14:paraId="68B1E874">
      <w:pPr>
        <w:pStyle w:val="35"/>
        <w:ind w:left="0" w:leftChars="0" w:firstLine="420" w:firstLineChars="200"/>
        <w:rPr>
          <w:rFonts w:hint="eastAsia"/>
          <w:lang w:val="en-US" w:eastAsia="zh-CN"/>
        </w:rPr>
      </w:pPr>
      <w:r>
        <w:rPr>
          <w:rFonts w:hint="eastAsia"/>
          <w:lang w:val="en-US" w:eastAsia="zh-CN"/>
        </w:rPr>
        <w:t xml:space="preserve">b）失信行为的不良影响已基本消除；  </w:t>
      </w:r>
    </w:p>
    <w:p w14:paraId="4433EE0F">
      <w:pPr>
        <w:pStyle w:val="35"/>
        <w:ind w:left="0" w:leftChars="0" w:firstLine="420" w:firstLineChars="200"/>
        <w:rPr>
          <w:rFonts w:hint="eastAsia"/>
          <w:lang w:val="en-US" w:eastAsia="zh-CN"/>
        </w:rPr>
      </w:pPr>
      <w:r>
        <w:rPr>
          <w:rFonts w:hint="eastAsia"/>
          <w:lang w:val="en-US" w:eastAsia="zh-CN"/>
        </w:rPr>
        <w:t xml:space="preserve">c）自失信行为纠正之日起不少于6个月；  </w:t>
      </w:r>
    </w:p>
    <w:p w14:paraId="662BCD39">
      <w:pPr>
        <w:pStyle w:val="35"/>
        <w:ind w:left="0" w:leftChars="0" w:firstLine="420" w:firstLineChars="200"/>
        <w:rPr>
          <w:rFonts w:hint="eastAsia"/>
          <w:lang w:val="en-US" w:eastAsia="zh-CN"/>
        </w:rPr>
      </w:pPr>
      <w:r>
        <w:rPr>
          <w:rFonts w:hint="eastAsia"/>
          <w:lang w:val="en-US" w:eastAsia="zh-CN"/>
        </w:rPr>
        <w:t xml:space="preserve">d）期间未发生新的失信行为；  </w:t>
      </w:r>
    </w:p>
    <w:p w14:paraId="785A925E">
      <w:pPr>
        <w:pStyle w:val="35"/>
        <w:ind w:left="0" w:leftChars="0" w:firstLine="420" w:firstLineChars="200"/>
        <w:rPr>
          <w:rFonts w:hint="eastAsia"/>
          <w:lang w:val="en-US" w:eastAsia="zh-CN"/>
        </w:rPr>
      </w:pPr>
      <w:r>
        <w:rPr>
          <w:rFonts w:hint="eastAsia"/>
          <w:lang w:val="en-US" w:eastAsia="zh-CN"/>
        </w:rPr>
        <w:t>e）企业已建立防止类似失信行为再次发生的管理制度。</w:t>
      </w:r>
    </w:p>
    <w:p w14:paraId="19B122C9">
      <w:pPr>
        <w:pStyle w:val="35"/>
        <w:ind w:left="0" w:leftChars="0" w:firstLine="0" w:firstLineChars="0"/>
        <w:rPr>
          <w:rFonts w:hint="eastAsia"/>
          <w:lang w:val="en-US" w:eastAsia="zh-CN"/>
        </w:rPr>
      </w:pPr>
    </w:p>
    <w:p w14:paraId="79F93FEB">
      <w:pPr>
        <w:pStyle w:val="35"/>
        <w:ind w:left="0" w:leftChars="0" w:firstLine="0" w:firstLineChars="0"/>
        <w:rPr>
          <w:rFonts w:hint="eastAsia"/>
          <w:lang w:val="en-US" w:eastAsia="zh-CN"/>
        </w:rPr>
      </w:pPr>
      <w:r>
        <w:rPr>
          <w:rFonts w:hint="eastAsia" w:ascii="黑体" w:hAnsi="Times New Roman" w:eastAsia="黑体" w:cs="Times New Roman"/>
          <w:sz w:val="21"/>
          <w:lang w:val="en-US" w:eastAsia="zh-CN" w:bidi="ar-SA"/>
        </w:rPr>
        <w:t>12.4.3</w:t>
      </w:r>
      <w:r>
        <w:rPr>
          <w:rFonts w:hint="eastAsia" w:ascii="黑体" w:eastAsia="黑体" w:cs="Times New Roman"/>
          <w:sz w:val="21"/>
          <w:lang w:val="en-US" w:eastAsia="zh-CN" w:bidi="ar-SA"/>
        </w:rPr>
        <w:t xml:space="preserve">  </w:t>
      </w:r>
      <w:r>
        <w:rPr>
          <w:rFonts w:hint="eastAsia"/>
          <w:lang w:val="en-US" w:eastAsia="zh-CN"/>
        </w:rPr>
        <w:t>信用修复程序：</w:t>
      </w:r>
    </w:p>
    <w:p w14:paraId="0B2862B6">
      <w:pPr>
        <w:pStyle w:val="35"/>
        <w:ind w:left="0" w:leftChars="0" w:firstLine="420" w:firstLineChars="200"/>
        <w:rPr>
          <w:rFonts w:hint="eastAsia"/>
          <w:lang w:val="en-US" w:eastAsia="zh-CN"/>
        </w:rPr>
      </w:pPr>
      <w:r>
        <w:rPr>
          <w:rFonts w:hint="eastAsia"/>
          <w:lang w:val="en-US" w:eastAsia="zh-CN"/>
        </w:rPr>
        <w:t xml:space="preserve">a）企业向评价机构提交信用修复申请书，说明修复理由并提供相关证明材料；  </w:t>
      </w:r>
    </w:p>
    <w:p w14:paraId="3486407E">
      <w:pPr>
        <w:pStyle w:val="35"/>
        <w:ind w:left="0" w:leftChars="0" w:firstLine="420" w:firstLineChars="200"/>
        <w:rPr>
          <w:rFonts w:hint="eastAsia"/>
          <w:lang w:val="en-US" w:eastAsia="zh-CN"/>
        </w:rPr>
      </w:pPr>
      <w:r>
        <w:rPr>
          <w:rFonts w:hint="eastAsia"/>
          <w:lang w:val="en-US" w:eastAsia="zh-CN"/>
        </w:rPr>
        <w:t xml:space="preserve">b）评价机构在收到申请后15个工作日内完成审核，必要时进行现场核查；  </w:t>
      </w:r>
    </w:p>
    <w:p w14:paraId="0869DE7A">
      <w:pPr>
        <w:pStyle w:val="35"/>
        <w:ind w:left="0" w:leftChars="0" w:firstLine="420" w:firstLineChars="200"/>
        <w:rPr>
          <w:rFonts w:hint="eastAsia"/>
          <w:lang w:val="en-US" w:eastAsia="zh-CN"/>
        </w:rPr>
      </w:pPr>
      <w:r>
        <w:rPr>
          <w:rFonts w:hint="eastAsia"/>
          <w:lang w:val="en-US" w:eastAsia="zh-CN"/>
        </w:rPr>
        <w:t xml:space="preserve">c）审核通过的，评价机构应调整企业信用状态，恢复或提升信用等级，并向社会公示；  </w:t>
      </w:r>
    </w:p>
    <w:p w14:paraId="2D127F0C">
      <w:pPr>
        <w:pStyle w:val="35"/>
        <w:ind w:left="0" w:leftChars="0" w:firstLine="420" w:firstLineChars="200"/>
        <w:rPr>
          <w:rFonts w:hint="eastAsia"/>
          <w:lang w:val="en-US" w:eastAsia="zh-CN"/>
        </w:rPr>
      </w:pPr>
      <w:r>
        <w:rPr>
          <w:rFonts w:hint="eastAsia"/>
          <w:lang w:val="en-US" w:eastAsia="zh-CN"/>
        </w:rPr>
        <w:t>d）审核不通过的，评价机构应书面说明理由，企业可在6个月后再次申请。</w:t>
      </w:r>
    </w:p>
    <w:p w14:paraId="3DEAAF55">
      <w:pPr>
        <w:pStyle w:val="35"/>
        <w:ind w:left="0" w:leftChars="0" w:firstLine="0" w:firstLineChars="0"/>
        <w:rPr>
          <w:rFonts w:hint="eastAsia"/>
          <w:lang w:val="en-US" w:eastAsia="zh-CN"/>
        </w:rPr>
      </w:pPr>
      <w:r>
        <w:rPr>
          <w:rFonts w:hint="eastAsia" w:ascii="黑体" w:hAnsi="Times New Roman" w:eastAsia="黑体" w:cs="Times New Roman"/>
          <w:sz w:val="21"/>
          <w:lang w:val="en-US" w:eastAsia="zh-CN" w:bidi="ar-SA"/>
        </w:rPr>
        <w:t>12.4.4</w:t>
      </w:r>
      <w:r>
        <w:rPr>
          <w:rFonts w:hint="eastAsia" w:ascii="黑体" w:eastAsia="黑体" w:cs="Times New Roman"/>
          <w:sz w:val="21"/>
          <w:lang w:val="en-US" w:eastAsia="zh-CN" w:bidi="ar-SA"/>
        </w:rPr>
        <w:t xml:space="preserve">  </w:t>
      </w:r>
      <w:r>
        <w:rPr>
          <w:rFonts w:hint="eastAsia"/>
          <w:lang w:val="en-US" w:eastAsia="zh-CN"/>
        </w:rPr>
        <w:t>因一票否决指标被取消等级的企业，不适用信用修复程序。</w:t>
      </w:r>
    </w:p>
    <w:p w14:paraId="06C5D643">
      <w:pPr>
        <w:pStyle w:val="35"/>
        <w:ind w:left="0" w:leftChars="0" w:firstLine="0" w:firstLineChars="0"/>
        <w:rPr>
          <w:rFonts w:hint="eastAsia"/>
          <w:lang w:val="en-US" w:eastAsia="zh-CN"/>
        </w:rPr>
      </w:pPr>
    </w:p>
    <w:p w14:paraId="59AE68D3">
      <w:pPr>
        <w:pStyle w:val="35"/>
        <w:ind w:left="0" w:leftChars="0" w:firstLine="0" w:firstLineChars="0"/>
        <w:rPr>
          <w:rFonts w:hint="eastAsia" w:ascii="黑体" w:hAnsi="Times New Roman" w:eastAsia="黑体" w:cs="Times New Roman"/>
          <w:sz w:val="21"/>
          <w:lang w:val="en-US" w:eastAsia="zh-CN" w:bidi="ar-SA"/>
        </w:rPr>
      </w:pPr>
      <w:r>
        <w:rPr>
          <w:rFonts w:hint="eastAsia" w:ascii="黑体" w:hAnsi="Times New Roman" w:eastAsia="黑体" w:cs="Times New Roman"/>
          <w:sz w:val="21"/>
          <w:lang w:val="en-US" w:eastAsia="zh-CN" w:bidi="ar-SA"/>
        </w:rPr>
        <w:t xml:space="preserve"> 12.5</w:t>
      </w:r>
      <w:r>
        <w:rPr>
          <w:rFonts w:hint="eastAsia" w:ascii="黑体" w:eastAsia="黑体" w:cs="Times New Roman"/>
          <w:sz w:val="21"/>
          <w:lang w:val="en-US" w:eastAsia="zh-CN" w:bidi="ar-SA"/>
        </w:rPr>
        <w:t xml:space="preserve">  </w:t>
      </w:r>
      <w:r>
        <w:rPr>
          <w:rFonts w:hint="eastAsia" w:ascii="黑体" w:hAnsi="Times New Roman" w:eastAsia="黑体" w:cs="Times New Roman"/>
          <w:sz w:val="21"/>
          <w:lang w:val="en-US" w:eastAsia="zh-CN" w:bidi="ar-SA"/>
        </w:rPr>
        <w:t>结果应用衔接</w:t>
      </w:r>
    </w:p>
    <w:p w14:paraId="0015A138">
      <w:pPr>
        <w:pStyle w:val="35"/>
        <w:ind w:left="0" w:leftChars="0" w:firstLine="0" w:firstLineChars="0"/>
        <w:rPr>
          <w:rFonts w:hint="eastAsia"/>
          <w:lang w:val="en-US" w:eastAsia="zh-CN"/>
        </w:rPr>
      </w:pPr>
    </w:p>
    <w:p w14:paraId="114B1BF0">
      <w:pPr>
        <w:pStyle w:val="35"/>
        <w:ind w:left="0" w:leftChars="0" w:firstLine="0" w:firstLineChars="0"/>
        <w:rPr>
          <w:rFonts w:hint="eastAsia"/>
          <w:lang w:val="en-US" w:eastAsia="zh-CN"/>
        </w:rPr>
      </w:pPr>
      <w:r>
        <w:rPr>
          <w:rFonts w:hint="eastAsia" w:ascii="黑体" w:hAnsi="Times New Roman" w:eastAsia="黑体" w:cs="Times New Roman"/>
          <w:sz w:val="21"/>
          <w:lang w:val="en-US" w:eastAsia="zh-CN" w:bidi="ar-SA"/>
        </w:rPr>
        <w:t>12.5.1</w:t>
      </w:r>
      <w:r>
        <w:rPr>
          <w:rFonts w:hint="eastAsia" w:ascii="黑体" w:eastAsia="黑体" w:cs="Times New Roman"/>
          <w:sz w:val="21"/>
          <w:lang w:val="en-US" w:eastAsia="zh-CN" w:bidi="ar-SA"/>
        </w:rPr>
        <w:t xml:space="preserve">  </w:t>
      </w:r>
      <w:r>
        <w:rPr>
          <w:rFonts w:hint="eastAsia"/>
          <w:lang w:val="en-US" w:eastAsia="zh-CN"/>
        </w:rPr>
        <w:t>信用评价等级宜作为参评企业评先评优、会员晋升、担任行业协会职务、参与行业重大项目等活动的重要依据。</w:t>
      </w:r>
    </w:p>
    <w:p w14:paraId="6A1799C6">
      <w:pPr>
        <w:pStyle w:val="35"/>
        <w:ind w:left="0" w:leftChars="0" w:firstLine="0" w:firstLineChars="0"/>
        <w:rPr>
          <w:rFonts w:hint="default"/>
          <w:lang w:val="en-US" w:eastAsia="zh-CN"/>
        </w:rPr>
      </w:pPr>
      <w:r>
        <w:rPr>
          <w:rFonts w:hint="eastAsia" w:ascii="黑体" w:hAnsi="Times New Roman" w:eastAsia="黑体" w:cs="Times New Roman"/>
          <w:sz w:val="21"/>
          <w:lang w:val="en-US" w:eastAsia="zh-CN" w:bidi="ar-SA"/>
        </w:rPr>
        <w:t>12.5.2</w:t>
      </w:r>
      <w:r>
        <w:rPr>
          <w:rFonts w:hint="eastAsia" w:ascii="黑体" w:eastAsia="黑体" w:cs="Times New Roman"/>
          <w:sz w:val="21"/>
          <w:lang w:val="en-US" w:eastAsia="zh-CN" w:bidi="ar-SA"/>
        </w:rPr>
        <w:t xml:space="preserve">  </w:t>
      </w:r>
      <w:r>
        <w:rPr>
          <w:rFonts w:hint="eastAsia"/>
          <w:lang w:val="en-US" w:eastAsia="zh-CN"/>
        </w:rPr>
        <w:t>评价机构应将等级调整、信用修复等信息及时推送至信用信息共享平台及相关应用部门，确保评价结果应用的时效性和一致性。</w:t>
      </w:r>
    </w:p>
    <w:bookmarkEnd w:id="72"/>
    <w:bookmarkEnd w:id="73"/>
    <w:bookmarkEnd w:id="74"/>
    <w:bookmarkEnd w:id="75"/>
    <w:bookmarkEnd w:id="76"/>
    <w:bookmarkEnd w:id="77"/>
    <w:p w14:paraId="475C26AF">
      <w:pPr>
        <w:pStyle w:val="35"/>
        <w:ind w:left="0" w:leftChars="0" w:firstLine="0" w:firstLineChars="0"/>
        <w:rPr>
          <w:rFonts w:hint="default"/>
          <w:lang w:val="en-US" w:eastAsia="zh-CN"/>
        </w:rPr>
      </w:pPr>
    </w:p>
    <w:bookmarkEnd w:id="30"/>
    <w:p w14:paraId="3ED5579D">
      <w:pPr>
        <w:pStyle w:val="35"/>
        <w:ind w:firstLine="0" w:firstLineChars="0"/>
        <w:sectPr>
          <w:headerReference r:id="rId22" w:type="default"/>
          <w:footerReference r:id="rId24" w:type="default"/>
          <w:headerReference r:id="rId23" w:type="even"/>
          <w:footerReference r:id="rId25" w:type="even"/>
          <w:pgSz w:w="11906" w:h="16838"/>
          <w:pgMar w:top="1928" w:right="1134" w:bottom="1134" w:left="1134" w:header="1418" w:footer="1134" w:gutter="284"/>
          <w:cols w:space="425" w:num="1"/>
          <w:formProt w:val="0"/>
          <w:docGrid w:linePitch="312" w:charSpace="0"/>
        </w:sectPr>
      </w:pPr>
      <w:bookmarkStart w:id="78" w:name="BookMark5"/>
    </w:p>
    <w:p w14:paraId="5680AE60">
      <w:pPr>
        <w:pStyle w:val="203"/>
        <w:rPr>
          <w:rFonts w:hint="eastAsia"/>
        </w:rPr>
      </w:pPr>
    </w:p>
    <w:p w14:paraId="21AE8D51">
      <w:pPr>
        <w:pStyle w:val="204"/>
      </w:pPr>
    </w:p>
    <w:p w14:paraId="40701A3E">
      <w:pPr>
        <w:pStyle w:val="87"/>
        <w:spacing w:after="120"/>
        <w:rPr>
          <w:rFonts w:hint="eastAsia"/>
        </w:rPr>
      </w:pPr>
      <w:bookmarkStart w:id="79" w:name="_Toc15238"/>
      <w:bookmarkStart w:id="80" w:name="_Toc21552"/>
      <w:bookmarkStart w:id="81" w:name="_Toc30161"/>
      <w:r>
        <w:br w:type="textWrapping"/>
      </w:r>
      <w:r>
        <w:rPr>
          <w:rFonts w:hint="eastAsia"/>
        </w:rPr>
        <w:t>（规范性）</w:t>
      </w:r>
      <w:r>
        <w:rPr>
          <w:rFonts w:hint="eastAsia"/>
        </w:rPr>
        <w:br w:type="textWrapping"/>
      </w:r>
      <w:bookmarkEnd w:id="79"/>
      <w:bookmarkEnd w:id="80"/>
      <w:bookmarkEnd w:id="81"/>
      <w:r>
        <w:rPr>
          <w:rFonts w:hint="eastAsia"/>
          <w:lang w:eastAsia="zh-CN"/>
        </w:rPr>
        <w:t>拍卖</w:t>
      </w:r>
      <w:r>
        <w:rPr>
          <w:rFonts w:hint="eastAsia"/>
        </w:rPr>
        <w:t>企业信用评价指标及分值</w:t>
      </w:r>
    </w:p>
    <w:p w14:paraId="27AB90BF">
      <w:pPr>
        <w:pStyle w:val="35"/>
        <w:ind w:firstLine="420"/>
      </w:pPr>
      <w:r>
        <w:rPr>
          <w:rFonts w:hint="eastAsia" w:ascii="宋体" w:hAnsi="宋体"/>
        </w:rPr>
        <w:t>表</w:t>
      </w:r>
      <w:r>
        <w:rPr>
          <w:rFonts w:hint="eastAsia" w:ascii="宋体" w:hAnsi="宋体"/>
          <w:lang w:val="en-US" w:eastAsia="zh-CN"/>
        </w:rPr>
        <w:t>A</w:t>
      </w:r>
      <w:r>
        <w:rPr>
          <w:rFonts w:hint="eastAsia" w:ascii="宋体" w:hAnsi="宋体"/>
        </w:rPr>
        <w:t>.1给出了</w:t>
      </w:r>
      <w:bookmarkStart w:id="82" w:name="OLE_LINK4"/>
      <w:r>
        <w:rPr>
          <w:rFonts w:hint="eastAsia" w:ascii="宋体" w:hAnsi="宋体"/>
          <w:lang w:eastAsia="zh-CN"/>
        </w:rPr>
        <w:t>拍卖</w:t>
      </w:r>
      <w:r>
        <w:rPr>
          <w:rFonts w:hint="eastAsia" w:ascii="宋体" w:hAnsi="宋体"/>
        </w:rPr>
        <w:t>企业信用评价所需的评价指标和</w:t>
      </w:r>
      <w:r>
        <w:rPr>
          <w:rFonts w:hint="eastAsia" w:ascii="宋体" w:hAnsi="宋体"/>
          <w:lang w:val="en-US" w:eastAsia="zh-CN"/>
        </w:rPr>
        <w:t>指标说明</w:t>
      </w:r>
      <w:r>
        <w:rPr>
          <w:rFonts w:hint="eastAsia" w:ascii="宋体" w:hAnsi="宋体"/>
        </w:rPr>
        <w:t>。</w:t>
      </w:r>
    </w:p>
    <w:bookmarkEnd w:id="82"/>
    <w:p w14:paraId="5B523F18">
      <w:pPr>
        <w:pStyle w:val="88"/>
        <w:spacing w:before="120" w:after="120"/>
        <w:rPr>
          <w:rFonts w:hint="eastAsia" w:ascii="宋体" w:hAnsi="宋体"/>
        </w:rPr>
      </w:pPr>
      <w:r>
        <w:rPr>
          <w:rFonts w:hint="eastAsia"/>
          <w:lang w:eastAsia="zh-CN"/>
        </w:rPr>
        <w:t>拍卖</w:t>
      </w:r>
      <w:r>
        <w:rPr>
          <w:rFonts w:hint="eastAsia"/>
        </w:rPr>
        <w:t>企业信用评价表</w:t>
      </w:r>
    </w:p>
    <w:p w14:paraId="2ABE3992">
      <w:pPr>
        <w:pStyle w:val="35"/>
        <w:ind w:left="0" w:leftChars="0" w:firstLine="0" w:firstLineChars="0"/>
        <w:rPr>
          <w:rFonts w:hint="eastAsia"/>
        </w:rPr>
      </w:pPr>
      <w:r>
        <w:rPr>
          <w:rFonts w:hint="eastAsia"/>
        </w:rPr>
        <w:t>评价项目名称：                                                评价时间：</w:t>
      </w:r>
    </w:p>
    <w:tbl>
      <w:tblPr>
        <w:tblStyle w:val="27"/>
        <w:tblW w:w="94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6"/>
        <w:gridCol w:w="1186"/>
        <w:gridCol w:w="1173"/>
        <w:gridCol w:w="1200"/>
        <w:gridCol w:w="4052"/>
        <w:gridCol w:w="762"/>
      </w:tblGrid>
      <w:tr w14:paraId="686AE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1096" w:type="dxa"/>
            <w:vAlign w:val="center"/>
          </w:tcPr>
          <w:p w14:paraId="767A7202">
            <w:pPr>
              <w:widowControl/>
              <w:adjustRightInd/>
              <w:spacing w:after="0" w:line="240" w:lineRule="auto"/>
              <w:jc w:val="center"/>
              <w:rPr>
                <w:rFonts w:hint="default" w:ascii="Times New Roman" w:hAnsi="Times New Roman" w:eastAsia="宋体" w:cs="Times New Roman"/>
                <w:b/>
                <w:bCs/>
                <w:kern w:val="0"/>
                <w:sz w:val="21"/>
                <w:szCs w:val="21"/>
                <w:lang w:eastAsia="en-US"/>
              </w:rPr>
            </w:pPr>
            <w:r>
              <w:rPr>
                <w:rFonts w:hint="default" w:ascii="Times New Roman" w:hAnsi="Times New Roman" w:eastAsia="宋体" w:cs="Times New Roman"/>
                <w:b/>
                <w:bCs/>
                <w:kern w:val="0"/>
                <w:sz w:val="21"/>
                <w:szCs w:val="21"/>
                <w:lang w:eastAsia="en-US"/>
              </w:rPr>
              <w:t>一级指标</w:t>
            </w:r>
          </w:p>
        </w:tc>
        <w:tc>
          <w:tcPr>
            <w:tcW w:w="1186" w:type="dxa"/>
            <w:vAlign w:val="center"/>
          </w:tcPr>
          <w:p w14:paraId="7A8ECA52">
            <w:pPr>
              <w:widowControl/>
              <w:adjustRightInd/>
              <w:spacing w:after="0" w:line="240" w:lineRule="auto"/>
              <w:jc w:val="center"/>
              <w:rPr>
                <w:rFonts w:hint="default" w:ascii="Times New Roman" w:hAnsi="Times New Roman" w:eastAsia="宋体" w:cs="Times New Roman"/>
                <w:b/>
                <w:bCs/>
                <w:kern w:val="0"/>
                <w:sz w:val="21"/>
                <w:szCs w:val="21"/>
                <w:lang w:eastAsia="en-US"/>
              </w:rPr>
            </w:pPr>
            <w:r>
              <w:rPr>
                <w:rFonts w:hint="default" w:ascii="Times New Roman" w:hAnsi="Times New Roman" w:eastAsia="宋体" w:cs="Times New Roman"/>
                <w:b/>
                <w:bCs/>
                <w:kern w:val="0"/>
                <w:sz w:val="21"/>
                <w:szCs w:val="21"/>
                <w:lang w:eastAsia="en-US"/>
              </w:rPr>
              <w:t>二级指标</w:t>
            </w:r>
          </w:p>
        </w:tc>
        <w:tc>
          <w:tcPr>
            <w:tcW w:w="1173" w:type="dxa"/>
            <w:vAlign w:val="center"/>
          </w:tcPr>
          <w:p w14:paraId="434CD6A2">
            <w:pPr>
              <w:widowControl/>
              <w:adjustRightInd/>
              <w:spacing w:after="0" w:line="240" w:lineRule="auto"/>
              <w:jc w:val="center"/>
              <w:rPr>
                <w:rFonts w:hint="default" w:ascii="Times New Roman" w:hAnsi="Times New Roman" w:eastAsia="宋体" w:cs="Times New Roman"/>
                <w:b/>
                <w:bCs/>
                <w:kern w:val="0"/>
                <w:sz w:val="21"/>
                <w:szCs w:val="21"/>
                <w:lang w:eastAsia="en-US"/>
              </w:rPr>
            </w:pPr>
            <w:r>
              <w:rPr>
                <w:rFonts w:hint="default" w:ascii="Times New Roman" w:hAnsi="Times New Roman" w:eastAsia="宋体" w:cs="Times New Roman"/>
                <w:b/>
                <w:bCs/>
                <w:kern w:val="0"/>
                <w:sz w:val="21"/>
                <w:szCs w:val="21"/>
                <w:lang w:eastAsia="en-US"/>
              </w:rPr>
              <w:t>三级指标</w:t>
            </w:r>
          </w:p>
        </w:tc>
        <w:tc>
          <w:tcPr>
            <w:tcW w:w="1200" w:type="dxa"/>
            <w:vAlign w:val="center"/>
          </w:tcPr>
          <w:p w14:paraId="58DFBBFF">
            <w:pPr>
              <w:widowControl/>
              <w:adjustRightInd/>
              <w:spacing w:after="0" w:line="240" w:lineRule="auto"/>
              <w:jc w:val="center"/>
              <w:rPr>
                <w:rFonts w:hint="default" w:ascii="Times New Roman" w:hAnsi="Times New Roman" w:eastAsia="宋体" w:cs="Times New Roman"/>
                <w:b/>
                <w:bCs/>
                <w:kern w:val="0"/>
                <w:sz w:val="21"/>
                <w:szCs w:val="21"/>
                <w:lang w:eastAsia="en-US"/>
              </w:rPr>
            </w:pPr>
            <w:r>
              <w:rPr>
                <w:rFonts w:hint="default" w:ascii="Times New Roman" w:hAnsi="Times New Roman" w:eastAsia="宋体" w:cs="Times New Roman"/>
                <w:b/>
                <w:bCs/>
                <w:kern w:val="0"/>
                <w:sz w:val="21"/>
                <w:szCs w:val="21"/>
                <w:lang w:eastAsia="en-US"/>
              </w:rPr>
              <w:t>四级指标</w:t>
            </w:r>
          </w:p>
        </w:tc>
        <w:tc>
          <w:tcPr>
            <w:tcW w:w="4052" w:type="dxa"/>
            <w:vAlign w:val="center"/>
          </w:tcPr>
          <w:p w14:paraId="75F46A62">
            <w:pPr>
              <w:widowControl/>
              <w:adjustRightInd/>
              <w:spacing w:after="0" w:line="240" w:lineRule="auto"/>
              <w:jc w:val="center"/>
              <w:rPr>
                <w:rFonts w:hint="default" w:ascii="Times New Roman" w:hAnsi="Times New Roman" w:eastAsia="宋体" w:cs="Times New Roman"/>
                <w:b/>
                <w:bCs/>
                <w:kern w:val="0"/>
                <w:sz w:val="21"/>
                <w:szCs w:val="21"/>
                <w:lang w:eastAsia="en-US"/>
              </w:rPr>
            </w:pPr>
            <w:r>
              <w:rPr>
                <w:rFonts w:hint="default" w:ascii="Times New Roman" w:hAnsi="Times New Roman" w:eastAsia="宋体" w:cs="Times New Roman"/>
                <w:b/>
                <w:bCs/>
                <w:kern w:val="0"/>
                <w:sz w:val="21"/>
                <w:szCs w:val="21"/>
                <w:lang w:eastAsia="en-US"/>
              </w:rPr>
              <w:t>指标说明</w:t>
            </w:r>
          </w:p>
        </w:tc>
        <w:tc>
          <w:tcPr>
            <w:tcW w:w="762" w:type="dxa"/>
            <w:vAlign w:val="center"/>
          </w:tcPr>
          <w:p w14:paraId="0B7B169C">
            <w:pPr>
              <w:widowControl/>
              <w:adjustRightInd/>
              <w:spacing w:after="0" w:line="240" w:lineRule="auto"/>
              <w:jc w:val="center"/>
              <w:rPr>
                <w:rFonts w:hint="default" w:ascii="Times New Roman" w:hAnsi="Times New Roman" w:eastAsia="宋体" w:cs="Times New Roman"/>
                <w:b/>
                <w:bCs/>
                <w:kern w:val="0"/>
                <w:sz w:val="21"/>
                <w:szCs w:val="21"/>
                <w:lang w:eastAsia="en-US"/>
              </w:rPr>
            </w:pPr>
            <w:r>
              <w:rPr>
                <w:rFonts w:hint="default" w:ascii="Times New Roman" w:hAnsi="Times New Roman" w:eastAsia="宋体" w:cs="Times New Roman"/>
                <w:b/>
                <w:bCs/>
                <w:kern w:val="0"/>
                <w:sz w:val="21"/>
                <w:szCs w:val="21"/>
                <w:lang w:eastAsia="en-US"/>
              </w:rPr>
              <w:t>分值</w:t>
            </w:r>
          </w:p>
        </w:tc>
      </w:tr>
      <w:tr w14:paraId="2DC6E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1096" w:type="dxa"/>
            <w:vMerge w:val="restart"/>
            <w:vAlign w:val="center"/>
          </w:tcPr>
          <w:p w14:paraId="698D5769">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基础信用（15分）</w:t>
            </w:r>
          </w:p>
        </w:tc>
        <w:tc>
          <w:tcPr>
            <w:tcW w:w="1186" w:type="dxa"/>
            <w:vMerge w:val="restart"/>
            <w:vAlign w:val="center"/>
          </w:tcPr>
          <w:p w14:paraId="60454368">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资质合规（5分）</w:t>
            </w:r>
          </w:p>
        </w:tc>
        <w:tc>
          <w:tcPr>
            <w:tcW w:w="1173" w:type="dxa"/>
            <w:vAlign w:val="center"/>
          </w:tcPr>
          <w:p w14:paraId="1940B2F8">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营业执照有效性</w:t>
            </w:r>
          </w:p>
        </w:tc>
        <w:tc>
          <w:tcPr>
            <w:tcW w:w="1200" w:type="dxa"/>
            <w:vAlign w:val="center"/>
          </w:tcPr>
          <w:p w14:paraId="5B31FA64">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证照齐全且在有效期内</w:t>
            </w:r>
          </w:p>
        </w:tc>
        <w:tc>
          <w:tcPr>
            <w:tcW w:w="4052" w:type="dxa"/>
            <w:vAlign w:val="center"/>
          </w:tcPr>
          <w:p w14:paraId="2853CA3B">
            <w:pPr>
              <w:widowControl/>
              <w:adjustRightInd/>
              <w:spacing w:after="0" w:line="240" w:lineRule="auto"/>
              <w:jc w:val="center"/>
              <w:rPr>
                <w:rFonts w:hint="eastAsia" w:ascii="Times New Roman" w:hAnsi="Times New Roman" w:eastAsia="宋体" w:cs="Times New Roman"/>
                <w:kern w:val="0"/>
                <w:sz w:val="21"/>
                <w:szCs w:val="21"/>
                <w:lang w:val="en-US" w:eastAsia="zh-CN"/>
              </w:rPr>
            </w:pPr>
            <w:r>
              <w:rPr>
                <w:rFonts w:hint="default" w:ascii="Times New Roman" w:hAnsi="Times New Roman" w:eastAsia="宋体" w:cs="Times New Roman"/>
                <w:b w:val="0"/>
                <w:kern w:val="0"/>
                <w:sz w:val="21"/>
                <w:szCs w:val="21"/>
                <w:lang w:eastAsia="en-US"/>
              </w:rPr>
              <w:t>证照原件查验；证照齐全且在有效期内得1分，任一证照过期或缺失不得分</w:t>
            </w:r>
            <w:r>
              <w:rPr>
                <w:rFonts w:hint="eastAsia" w:ascii="Times New Roman" w:hAnsi="Times New Roman" w:cs="Times New Roman"/>
                <w:b w:val="0"/>
                <w:kern w:val="0"/>
                <w:sz w:val="21"/>
                <w:szCs w:val="21"/>
                <w:lang w:eastAsia="zh-CN"/>
              </w:rPr>
              <w:t>。</w:t>
            </w:r>
          </w:p>
        </w:tc>
        <w:tc>
          <w:tcPr>
            <w:tcW w:w="762" w:type="dxa"/>
            <w:vAlign w:val="center"/>
          </w:tcPr>
          <w:p w14:paraId="4A5092FE">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1</w:t>
            </w:r>
          </w:p>
        </w:tc>
      </w:tr>
      <w:tr w14:paraId="46ABE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7" w:hRule="atLeast"/>
          <w:jc w:val="center"/>
        </w:trPr>
        <w:tc>
          <w:tcPr>
            <w:tcW w:w="1096" w:type="dxa"/>
            <w:vMerge w:val="continue"/>
            <w:vAlign w:val="center"/>
          </w:tcPr>
          <w:p w14:paraId="289E0F14">
            <w:pPr>
              <w:widowControl/>
              <w:adjustRightInd/>
              <w:spacing w:after="0" w:line="240" w:lineRule="auto"/>
              <w:jc w:val="center"/>
              <w:rPr>
                <w:rFonts w:hint="default" w:ascii="Times New Roman" w:hAnsi="Times New Roman" w:cs="Times New Roman"/>
                <w:kern w:val="0"/>
                <w:sz w:val="21"/>
                <w:szCs w:val="21"/>
                <w:lang w:eastAsia="en-US"/>
              </w:rPr>
            </w:pPr>
          </w:p>
        </w:tc>
        <w:tc>
          <w:tcPr>
            <w:tcW w:w="1186" w:type="dxa"/>
            <w:vMerge w:val="continue"/>
            <w:vAlign w:val="center"/>
          </w:tcPr>
          <w:p w14:paraId="13B552F8">
            <w:pPr>
              <w:widowControl/>
              <w:adjustRightInd/>
              <w:spacing w:after="0" w:line="240" w:lineRule="auto"/>
              <w:jc w:val="center"/>
              <w:rPr>
                <w:rFonts w:hint="default" w:ascii="Times New Roman" w:hAnsi="Times New Roman" w:cs="Times New Roman"/>
                <w:kern w:val="0"/>
                <w:sz w:val="21"/>
                <w:szCs w:val="21"/>
                <w:lang w:eastAsia="en-US"/>
              </w:rPr>
            </w:pPr>
          </w:p>
        </w:tc>
        <w:tc>
          <w:tcPr>
            <w:tcW w:w="1173" w:type="dxa"/>
            <w:vAlign w:val="center"/>
          </w:tcPr>
          <w:p w14:paraId="5192EE75">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拍卖经营批准证书有效性</w:t>
            </w:r>
          </w:p>
        </w:tc>
        <w:tc>
          <w:tcPr>
            <w:tcW w:w="1200" w:type="dxa"/>
            <w:vAlign w:val="center"/>
          </w:tcPr>
          <w:p w14:paraId="325D7497">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证书有效且年检合格</w:t>
            </w:r>
          </w:p>
        </w:tc>
        <w:tc>
          <w:tcPr>
            <w:tcW w:w="4052" w:type="dxa"/>
            <w:vAlign w:val="center"/>
          </w:tcPr>
          <w:p w14:paraId="1752B0D3">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证书查验；证书有效且年检合格得1分，过期或未经年检不得分</w:t>
            </w:r>
            <w:r>
              <w:rPr>
                <w:rFonts w:hint="eastAsia" w:ascii="Times New Roman" w:hAnsi="Times New Roman" w:cs="Times New Roman"/>
                <w:b w:val="0"/>
                <w:kern w:val="0"/>
                <w:sz w:val="21"/>
                <w:szCs w:val="21"/>
                <w:lang w:eastAsia="zh-CN"/>
              </w:rPr>
              <w:t>。</w:t>
            </w:r>
          </w:p>
        </w:tc>
        <w:tc>
          <w:tcPr>
            <w:tcW w:w="762" w:type="dxa"/>
            <w:vAlign w:val="center"/>
          </w:tcPr>
          <w:p w14:paraId="74773BDB">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1</w:t>
            </w:r>
          </w:p>
        </w:tc>
      </w:tr>
      <w:tr w14:paraId="389B2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jc w:val="center"/>
        </w:trPr>
        <w:tc>
          <w:tcPr>
            <w:tcW w:w="1096" w:type="dxa"/>
            <w:vMerge w:val="continue"/>
            <w:vAlign w:val="center"/>
          </w:tcPr>
          <w:p w14:paraId="60571532">
            <w:pPr>
              <w:widowControl/>
              <w:adjustRightInd/>
              <w:spacing w:after="0" w:line="240" w:lineRule="auto"/>
              <w:jc w:val="center"/>
              <w:rPr>
                <w:rFonts w:hint="default" w:ascii="Times New Roman" w:hAnsi="Times New Roman" w:cs="Times New Roman"/>
                <w:kern w:val="0"/>
                <w:sz w:val="21"/>
                <w:szCs w:val="21"/>
                <w:lang w:eastAsia="en-US"/>
              </w:rPr>
            </w:pPr>
          </w:p>
        </w:tc>
        <w:tc>
          <w:tcPr>
            <w:tcW w:w="1186" w:type="dxa"/>
            <w:vMerge w:val="continue"/>
            <w:vAlign w:val="center"/>
          </w:tcPr>
          <w:p w14:paraId="64D02B88">
            <w:pPr>
              <w:widowControl/>
              <w:adjustRightInd/>
              <w:spacing w:after="0" w:line="240" w:lineRule="auto"/>
              <w:jc w:val="center"/>
              <w:rPr>
                <w:rFonts w:hint="default" w:ascii="Times New Roman" w:hAnsi="Times New Roman" w:cs="Times New Roman"/>
                <w:kern w:val="0"/>
                <w:sz w:val="21"/>
                <w:szCs w:val="21"/>
                <w:lang w:eastAsia="en-US"/>
              </w:rPr>
            </w:pPr>
          </w:p>
        </w:tc>
        <w:tc>
          <w:tcPr>
            <w:tcW w:w="1173" w:type="dxa"/>
            <w:vAlign w:val="center"/>
          </w:tcPr>
          <w:p w14:paraId="1189C56E">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文物拍卖许可证合规性</w:t>
            </w:r>
          </w:p>
        </w:tc>
        <w:tc>
          <w:tcPr>
            <w:tcW w:w="1200" w:type="dxa"/>
            <w:vAlign w:val="center"/>
          </w:tcPr>
          <w:p w14:paraId="213E0F6A">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许可证有效且合规经营</w:t>
            </w:r>
          </w:p>
        </w:tc>
        <w:tc>
          <w:tcPr>
            <w:tcW w:w="4052" w:type="dxa"/>
            <w:vAlign w:val="center"/>
          </w:tcPr>
          <w:p w14:paraId="5D11BB2B">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证书查验（如涉及）；许可证有效且合规经营得1分，超范围经营或过期不得分</w:t>
            </w:r>
            <w:r>
              <w:rPr>
                <w:rFonts w:hint="eastAsia" w:ascii="Times New Roman" w:hAnsi="Times New Roman" w:cs="Times New Roman"/>
                <w:b w:val="0"/>
                <w:kern w:val="0"/>
                <w:sz w:val="21"/>
                <w:szCs w:val="21"/>
                <w:lang w:eastAsia="zh-CN"/>
              </w:rPr>
              <w:t>。</w:t>
            </w:r>
          </w:p>
        </w:tc>
        <w:tc>
          <w:tcPr>
            <w:tcW w:w="762" w:type="dxa"/>
            <w:vAlign w:val="center"/>
          </w:tcPr>
          <w:p w14:paraId="75B0DF89">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1</w:t>
            </w:r>
          </w:p>
        </w:tc>
      </w:tr>
      <w:tr w14:paraId="035AD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1096" w:type="dxa"/>
            <w:vMerge w:val="continue"/>
            <w:vAlign w:val="center"/>
          </w:tcPr>
          <w:p w14:paraId="5B246B2D">
            <w:pPr>
              <w:widowControl/>
              <w:adjustRightInd/>
              <w:spacing w:after="0" w:line="240" w:lineRule="auto"/>
              <w:jc w:val="center"/>
              <w:rPr>
                <w:rFonts w:hint="default" w:ascii="Times New Roman" w:hAnsi="Times New Roman" w:cs="Times New Roman"/>
                <w:kern w:val="0"/>
                <w:sz w:val="21"/>
                <w:szCs w:val="21"/>
                <w:lang w:eastAsia="en-US"/>
              </w:rPr>
            </w:pPr>
          </w:p>
        </w:tc>
        <w:tc>
          <w:tcPr>
            <w:tcW w:w="1186" w:type="dxa"/>
            <w:vMerge w:val="continue"/>
            <w:vAlign w:val="center"/>
          </w:tcPr>
          <w:p w14:paraId="7C96256F">
            <w:pPr>
              <w:widowControl/>
              <w:adjustRightInd/>
              <w:spacing w:after="0" w:line="240" w:lineRule="auto"/>
              <w:jc w:val="center"/>
              <w:rPr>
                <w:rFonts w:hint="default" w:ascii="Times New Roman" w:hAnsi="Times New Roman" w:cs="Times New Roman"/>
                <w:kern w:val="0"/>
                <w:sz w:val="21"/>
                <w:szCs w:val="21"/>
                <w:lang w:eastAsia="en-US"/>
              </w:rPr>
            </w:pPr>
          </w:p>
        </w:tc>
        <w:tc>
          <w:tcPr>
            <w:tcW w:w="1173" w:type="dxa"/>
            <w:vAlign w:val="center"/>
          </w:tcPr>
          <w:p w14:paraId="46731D7D">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分支机构备案合规性</w:t>
            </w:r>
          </w:p>
        </w:tc>
        <w:tc>
          <w:tcPr>
            <w:tcW w:w="1200" w:type="dxa"/>
            <w:vAlign w:val="center"/>
          </w:tcPr>
          <w:p w14:paraId="0CFF0F82">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备案齐全</w:t>
            </w:r>
          </w:p>
        </w:tc>
        <w:tc>
          <w:tcPr>
            <w:tcW w:w="4052" w:type="dxa"/>
            <w:vAlign w:val="center"/>
          </w:tcPr>
          <w:p w14:paraId="5248D101">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备案记录；设有分支机构的，备案齐全得1分，未备案或备案不全不得分</w:t>
            </w:r>
          </w:p>
        </w:tc>
        <w:tc>
          <w:tcPr>
            <w:tcW w:w="762" w:type="dxa"/>
            <w:vAlign w:val="center"/>
          </w:tcPr>
          <w:p w14:paraId="7E74BB1C">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1</w:t>
            </w:r>
          </w:p>
        </w:tc>
      </w:tr>
      <w:tr w14:paraId="343E3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jc w:val="center"/>
        </w:trPr>
        <w:tc>
          <w:tcPr>
            <w:tcW w:w="1096" w:type="dxa"/>
            <w:vMerge w:val="continue"/>
            <w:vAlign w:val="center"/>
          </w:tcPr>
          <w:p w14:paraId="13467506">
            <w:pPr>
              <w:widowControl/>
              <w:adjustRightInd/>
              <w:spacing w:after="0" w:line="240" w:lineRule="auto"/>
              <w:jc w:val="center"/>
              <w:rPr>
                <w:rFonts w:hint="default" w:ascii="Times New Roman" w:hAnsi="Times New Roman" w:cs="Times New Roman"/>
                <w:kern w:val="0"/>
                <w:sz w:val="21"/>
                <w:szCs w:val="21"/>
                <w:lang w:eastAsia="en-US"/>
              </w:rPr>
            </w:pPr>
          </w:p>
        </w:tc>
        <w:tc>
          <w:tcPr>
            <w:tcW w:w="1186" w:type="dxa"/>
            <w:vMerge w:val="continue"/>
            <w:vAlign w:val="center"/>
          </w:tcPr>
          <w:p w14:paraId="4DD257B3">
            <w:pPr>
              <w:widowControl/>
              <w:adjustRightInd/>
              <w:spacing w:after="0" w:line="240" w:lineRule="auto"/>
              <w:jc w:val="center"/>
              <w:rPr>
                <w:rFonts w:hint="default" w:ascii="Times New Roman" w:hAnsi="Times New Roman" w:cs="Times New Roman"/>
                <w:kern w:val="0"/>
                <w:sz w:val="21"/>
                <w:szCs w:val="21"/>
                <w:lang w:eastAsia="en-US"/>
              </w:rPr>
            </w:pPr>
          </w:p>
        </w:tc>
        <w:tc>
          <w:tcPr>
            <w:tcW w:w="1173" w:type="dxa"/>
            <w:vAlign w:val="center"/>
          </w:tcPr>
          <w:p w14:paraId="15173C82">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其他专项资质</w:t>
            </w:r>
          </w:p>
        </w:tc>
        <w:tc>
          <w:tcPr>
            <w:tcW w:w="1200" w:type="dxa"/>
            <w:vAlign w:val="center"/>
          </w:tcPr>
          <w:p w14:paraId="41B97C5A">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具备相应专项资质</w:t>
            </w:r>
          </w:p>
        </w:tc>
        <w:tc>
          <w:tcPr>
            <w:tcW w:w="4052" w:type="dxa"/>
            <w:vAlign w:val="center"/>
          </w:tcPr>
          <w:p w14:paraId="4424718B">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资质证明；涉及文物、艺术品、机动车等专项经营的，具备相应资质得1分</w:t>
            </w:r>
            <w:r>
              <w:rPr>
                <w:rFonts w:hint="eastAsia" w:ascii="Times New Roman" w:hAnsi="Times New Roman" w:cs="Times New Roman"/>
                <w:b w:val="0"/>
                <w:kern w:val="0"/>
                <w:sz w:val="21"/>
                <w:szCs w:val="21"/>
                <w:lang w:eastAsia="zh-CN"/>
              </w:rPr>
              <w:t>。</w:t>
            </w:r>
          </w:p>
        </w:tc>
        <w:tc>
          <w:tcPr>
            <w:tcW w:w="762" w:type="dxa"/>
            <w:vAlign w:val="center"/>
          </w:tcPr>
          <w:p w14:paraId="56C10947">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1</w:t>
            </w:r>
          </w:p>
        </w:tc>
      </w:tr>
      <w:tr w14:paraId="52B9D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atLeast"/>
          <w:jc w:val="center"/>
        </w:trPr>
        <w:tc>
          <w:tcPr>
            <w:tcW w:w="1096" w:type="dxa"/>
            <w:vMerge w:val="continue"/>
            <w:vAlign w:val="center"/>
          </w:tcPr>
          <w:p w14:paraId="20AB4AFB">
            <w:pPr>
              <w:widowControl/>
              <w:adjustRightInd/>
              <w:spacing w:after="0" w:line="240" w:lineRule="auto"/>
              <w:jc w:val="center"/>
              <w:rPr>
                <w:rFonts w:hint="default" w:ascii="Times New Roman" w:hAnsi="Times New Roman" w:cs="Times New Roman"/>
                <w:kern w:val="0"/>
                <w:sz w:val="21"/>
                <w:szCs w:val="21"/>
                <w:lang w:eastAsia="en-US"/>
              </w:rPr>
            </w:pPr>
          </w:p>
        </w:tc>
        <w:tc>
          <w:tcPr>
            <w:tcW w:w="1186" w:type="dxa"/>
            <w:vMerge w:val="restart"/>
            <w:vAlign w:val="center"/>
          </w:tcPr>
          <w:p w14:paraId="584DEC66">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法人治理（4分）</w:t>
            </w:r>
          </w:p>
        </w:tc>
        <w:tc>
          <w:tcPr>
            <w:tcW w:w="1173" w:type="dxa"/>
            <w:vAlign w:val="center"/>
          </w:tcPr>
          <w:p w14:paraId="1E7EB308">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治理结构设置</w:t>
            </w:r>
          </w:p>
        </w:tc>
        <w:tc>
          <w:tcPr>
            <w:tcW w:w="1200" w:type="dxa"/>
            <w:vAlign w:val="center"/>
          </w:tcPr>
          <w:p w14:paraId="05049AD2">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股东会、董事会、监事会设置完整</w:t>
            </w:r>
          </w:p>
        </w:tc>
        <w:tc>
          <w:tcPr>
            <w:tcW w:w="4052" w:type="dxa"/>
            <w:vAlign w:val="center"/>
          </w:tcPr>
          <w:p w14:paraId="314368BA">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公司章程；股东会（或出资人）、董事会（或执行董事）、监事会（或监事）设置完整得1分</w:t>
            </w:r>
            <w:r>
              <w:rPr>
                <w:rFonts w:hint="eastAsia" w:ascii="Times New Roman" w:hAnsi="Times New Roman" w:cs="Times New Roman"/>
                <w:b w:val="0"/>
                <w:kern w:val="0"/>
                <w:sz w:val="21"/>
                <w:szCs w:val="21"/>
                <w:lang w:eastAsia="zh-CN"/>
              </w:rPr>
              <w:t>。</w:t>
            </w:r>
          </w:p>
        </w:tc>
        <w:tc>
          <w:tcPr>
            <w:tcW w:w="762" w:type="dxa"/>
            <w:vAlign w:val="center"/>
          </w:tcPr>
          <w:p w14:paraId="5DCDD8F9">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1</w:t>
            </w:r>
          </w:p>
        </w:tc>
      </w:tr>
      <w:tr w14:paraId="2A38F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4" w:hRule="atLeast"/>
          <w:jc w:val="center"/>
        </w:trPr>
        <w:tc>
          <w:tcPr>
            <w:tcW w:w="1096" w:type="dxa"/>
            <w:vMerge w:val="continue"/>
            <w:vAlign w:val="center"/>
          </w:tcPr>
          <w:p w14:paraId="4202368B">
            <w:pPr>
              <w:widowControl/>
              <w:adjustRightInd/>
              <w:spacing w:after="0" w:line="240" w:lineRule="auto"/>
              <w:jc w:val="center"/>
              <w:rPr>
                <w:rFonts w:hint="default" w:ascii="Times New Roman" w:hAnsi="Times New Roman" w:cs="Times New Roman"/>
                <w:kern w:val="0"/>
                <w:sz w:val="21"/>
                <w:szCs w:val="21"/>
                <w:lang w:eastAsia="en-US"/>
              </w:rPr>
            </w:pPr>
          </w:p>
        </w:tc>
        <w:tc>
          <w:tcPr>
            <w:tcW w:w="1186" w:type="dxa"/>
            <w:vMerge w:val="continue"/>
            <w:vAlign w:val="center"/>
          </w:tcPr>
          <w:p w14:paraId="5E34BD23">
            <w:pPr>
              <w:widowControl/>
              <w:adjustRightInd/>
              <w:spacing w:after="0" w:line="240" w:lineRule="auto"/>
              <w:jc w:val="center"/>
              <w:rPr>
                <w:rFonts w:hint="default" w:ascii="Times New Roman" w:hAnsi="Times New Roman" w:cs="Times New Roman"/>
                <w:kern w:val="0"/>
                <w:sz w:val="21"/>
                <w:szCs w:val="21"/>
                <w:lang w:eastAsia="en-US"/>
              </w:rPr>
            </w:pPr>
          </w:p>
        </w:tc>
        <w:tc>
          <w:tcPr>
            <w:tcW w:w="1173" w:type="dxa"/>
            <w:vAlign w:val="center"/>
          </w:tcPr>
          <w:p w14:paraId="2EAD52B7">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治理结构运行</w:t>
            </w:r>
          </w:p>
        </w:tc>
        <w:tc>
          <w:tcPr>
            <w:tcW w:w="1200" w:type="dxa"/>
            <w:vAlign w:val="center"/>
          </w:tcPr>
          <w:p w14:paraId="051B630A">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会议记录完整，决议程序合规</w:t>
            </w:r>
          </w:p>
        </w:tc>
        <w:tc>
          <w:tcPr>
            <w:tcW w:w="4052" w:type="dxa"/>
            <w:vAlign w:val="center"/>
          </w:tcPr>
          <w:p w14:paraId="5764DFF6">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会议记录；近三年内"三会"会议记录完整，决议程序合规得1分</w:t>
            </w:r>
            <w:r>
              <w:rPr>
                <w:rFonts w:hint="eastAsia" w:ascii="Times New Roman" w:hAnsi="Times New Roman" w:cs="Times New Roman"/>
                <w:b w:val="0"/>
                <w:kern w:val="0"/>
                <w:sz w:val="21"/>
                <w:szCs w:val="21"/>
                <w:lang w:eastAsia="zh-CN"/>
              </w:rPr>
              <w:t>。</w:t>
            </w:r>
          </w:p>
        </w:tc>
        <w:tc>
          <w:tcPr>
            <w:tcW w:w="762" w:type="dxa"/>
            <w:vAlign w:val="center"/>
          </w:tcPr>
          <w:p w14:paraId="44999F34">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1</w:t>
            </w:r>
          </w:p>
        </w:tc>
      </w:tr>
      <w:tr w14:paraId="39C0C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7" w:hRule="atLeast"/>
          <w:jc w:val="center"/>
        </w:trPr>
        <w:tc>
          <w:tcPr>
            <w:tcW w:w="1096" w:type="dxa"/>
            <w:vMerge w:val="continue"/>
            <w:vAlign w:val="center"/>
          </w:tcPr>
          <w:p w14:paraId="1580D21B">
            <w:pPr>
              <w:widowControl/>
              <w:adjustRightInd/>
              <w:spacing w:after="0" w:line="240" w:lineRule="auto"/>
              <w:jc w:val="center"/>
              <w:rPr>
                <w:rFonts w:hint="default" w:ascii="Times New Roman" w:hAnsi="Times New Roman" w:cs="Times New Roman"/>
                <w:kern w:val="0"/>
                <w:sz w:val="21"/>
                <w:szCs w:val="21"/>
                <w:lang w:eastAsia="en-US"/>
              </w:rPr>
            </w:pPr>
          </w:p>
        </w:tc>
        <w:tc>
          <w:tcPr>
            <w:tcW w:w="1186" w:type="dxa"/>
            <w:vMerge w:val="continue"/>
            <w:vAlign w:val="center"/>
          </w:tcPr>
          <w:p w14:paraId="332DCA77">
            <w:pPr>
              <w:widowControl/>
              <w:adjustRightInd/>
              <w:spacing w:after="0" w:line="240" w:lineRule="auto"/>
              <w:jc w:val="center"/>
              <w:rPr>
                <w:rFonts w:hint="default" w:ascii="Times New Roman" w:hAnsi="Times New Roman" w:cs="Times New Roman"/>
                <w:kern w:val="0"/>
                <w:sz w:val="21"/>
                <w:szCs w:val="21"/>
                <w:lang w:eastAsia="en-US"/>
              </w:rPr>
            </w:pPr>
          </w:p>
        </w:tc>
        <w:tc>
          <w:tcPr>
            <w:tcW w:w="1173" w:type="dxa"/>
            <w:vAlign w:val="center"/>
          </w:tcPr>
          <w:p w14:paraId="02CCE5F8">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重大决策程序</w:t>
            </w:r>
          </w:p>
        </w:tc>
        <w:tc>
          <w:tcPr>
            <w:tcW w:w="1200" w:type="dxa"/>
            <w:vAlign w:val="center"/>
          </w:tcPr>
          <w:p w14:paraId="6E216897">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决策程序合规，记录完整</w:t>
            </w:r>
          </w:p>
        </w:tc>
        <w:tc>
          <w:tcPr>
            <w:tcW w:w="4052" w:type="dxa"/>
            <w:vAlign w:val="center"/>
          </w:tcPr>
          <w:p w14:paraId="18C48242">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决策记录；重大投资、重大合同、重大人事任免等决策程序合规，有完整记录得1分</w:t>
            </w:r>
            <w:r>
              <w:rPr>
                <w:rFonts w:hint="eastAsia" w:ascii="Times New Roman" w:hAnsi="Times New Roman" w:cs="Times New Roman"/>
                <w:b w:val="0"/>
                <w:kern w:val="0"/>
                <w:sz w:val="21"/>
                <w:szCs w:val="21"/>
                <w:lang w:eastAsia="zh-CN"/>
              </w:rPr>
              <w:t>。</w:t>
            </w:r>
          </w:p>
        </w:tc>
        <w:tc>
          <w:tcPr>
            <w:tcW w:w="762" w:type="dxa"/>
            <w:vAlign w:val="center"/>
          </w:tcPr>
          <w:p w14:paraId="155F6FA5">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1</w:t>
            </w:r>
          </w:p>
        </w:tc>
      </w:tr>
      <w:tr w14:paraId="73939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jc w:val="center"/>
        </w:trPr>
        <w:tc>
          <w:tcPr>
            <w:tcW w:w="1096" w:type="dxa"/>
            <w:vMerge w:val="continue"/>
            <w:vAlign w:val="center"/>
          </w:tcPr>
          <w:p w14:paraId="32FD3656">
            <w:pPr>
              <w:widowControl/>
              <w:adjustRightInd/>
              <w:spacing w:after="0" w:line="240" w:lineRule="auto"/>
              <w:jc w:val="center"/>
              <w:rPr>
                <w:rFonts w:hint="default" w:ascii="Times New Roman" w:hAnsi="Times New Roman" w:cs="Times New Roman"/>
                <w:kern w:val="0"/>
                <w:sz w:val="21"/>
                <w:szCs w:val="21"/>
                <w:lang w:eastAsia="en-US"/>
              </w:rPr>
            </w:pPr>
          </w:p>
        </w:tc>
        <w:tc>
          <w:tcPr>
            <w:tcW w:w="1186" w:type="dxa"/>
            <w:vMerge w:val="continue"/>
            <w:vAlign w:val="center"/>
          </w:tcPr>
          <w:p w14:paraId="0DDD93D4">
            <w:pPr>
              <w:widowControl/>
              <w:adjustRightInd/>
              <w:spacing w:after="0" w:line="240" w:lineRule="auto"/>
              <w:jc w:val="center"/>
              <w:rPr>
                <w:rFonts w:hint="default" w:ascii="Times New Roman" w:hAnsi="Times New Roman" w:cs="Times New Roman"/>
                <w:kern w:val="0"/>
                <w:sz w:val="21"/>
                <w:szCs w:val="21"/>
                <w:lang w:eastAsia="en-US"/>
              </w:rPr>
            </w:pPr>
          </w:p>
        </w:tc>
        <w:tc>
          <w:tcPr>
            <w:tcW w:w="1173" w:type="dxa"/>
            <w:vAlign w:val="center"/>
          </w:tcPr>
          <w:p w14:paraId="7DF669FA">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信息披露制度</w:t>
            </w:r>
          </w:p>
        </w:tc>
        <w:tc>
          <w:tcPr>
            <w:tcW w:w="1200" w:type="dxa"/>
            <w:vAlign w:val="center"/>
          </w:tcPr>
          <w:p w14:paraId="765A189B">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建立并执行信息披露制度</w:t>
            </w:r>
          </w:p>
        </w:tc>
        <w:tc>
          <w:tcPr>
            <w:tcW w:w="4052" w:type="dxa"/>
            <w:vAlign w:val="center"/>
          </w:tcPr>
          <w:p w14:paraId="27E2D3A8">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制度文件；建立并执行信息披露制度，定期向股东、利益相关方披露经营信息得1分</w:t>
            </w:r>
            <w:r>
              <w:rPr>
                <w:rFonts w:hint="eastAsia" w:ascii="Times New Roman" w:hAnsi="Times New Roman" w:cs="Times New Roman"/>
                <w:b w:val="0"/>
                <w:kern w:val="0"/>
                <w:sz w:val="21"/>
                <w:szCs w:val="21"/>
                <w:lang w:eastAsia="zh-CN"/>
              </w:rPr>
              <w:t>。</w:t>
            </w:r>
          </w:p>
        </w:tc>
        <w:tc>
          <w:tcPr>
            <w:tcW w:w="762" w:type="dxa"/>
            <w:vAlign w:val="center"/>
          </w:tcPr>
          <w:p w14:paraId="0519ADCD">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1</w:t>
            </w:r>
          </w:p>
        </w:tc>
      </w:tr>
    </w:tbl>
    <w:p w14:paraId="51BF3F74">
      <w:pPr>
        <w:pStyle w:val="88"/>
        <w:numPr>
          <w:ilvl w:val="1"/>
          <w:numId w:val="32"/>
        </w:numPr>
        <w:bidi w:val="0"/>
      </w:pPr>
      <w:r>
        <w:rPr>
          <w:rFonts w:hint="eastAsia"/>
        </w:rPr>
        <w:t>拍卖企业信用评价表（续）</w:t>
      </w:r>
    </w:p>
    <w:tbl>
      <w:tblPr>
        <w:tblStyle w:val="27"/>
        <w:tblW w:w="95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1"/>
        <w:gridCol w:w="1200"/>
        <w:gridCol w:w="1172"/>
        <w:gridCol w:w="1214"/>
        <w:gridCol w:w="4050"/>
        <w:gridCol w:w="777"/>
      </w:tblGrid>
      <w:tr w14:paraId="074BD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1141" w:type="dxa"/>
            <w:vAlign w:val="center"/>
          </w:tcPr>
          <w:p w14:paraId="14BB5642">
            <w:pPr>
              <w:widowControl/>
              <w:adjustRightInd/>
              <w:spacing w:after="0" w:line="240" w:lineRule="auto"/>
              <w:jc w:val="center"/>
              <w:rPr>
                <w:rFonts w:hint="eastAsia" w:ascii="Times New Roman" w:hAnsi="Times New Roman" w:eastAsia="宋体" w:cs="Times New Roman"/>
                <w:b/>
                <w:bCs/>
                <w:kern w:val="0"/>
                <w:sz w:val="21"/>
                <w:szCs w:val="21"/>
                <w:lang w:val="en-US" w:eastAsia="zh-CN"/>
              </w:rPr>
            </w:pPr>
            <w:r>
              <w:rPr>
                <w:rFonts w:hint="eastAsia" w:ascii="Times New Roman" w:hAnsi="Times New Roman" w:cs="Times New Roman"/>
                <w:b/>
                <w:bCs/>
                <w:kern w:val="0"/>
                <w:sz w:val="21"/>
                <w:szCs w:val="21"/>
                <w:lang w:val="en-US" w:eastAsia="zh-CN"/>
              </w:rPr>
              <w:t>一级指标</w:t>
            </w:r>
          </w:p>
        </w:tc>
        <w:tc>
          <w:tcPr>
            <w:tcW w:w="1200" w:type="dxa"/>
            <w:vAlign w:val="center"/>
          </w:tcPr>
          <w:p w14:paraId="061CA9B5">
            <w:pPr>
              <w:widowControl/>
              <w:adjustRightInd/>
              <w:spacing w:after="0" w:line="240" w:lineRule="auto"/>
              <w:jc w:val="center"/>
              <w:rPr>
                <w:rFonts w:hint="eastAsia" w:ascii="Times New Roman" w:hAnsi="Times New Roman" w:eastAsia="宋体" w:cs="Times New Roman"/>
                <w:b/>
                <w:bCs/>
                <w:kern w:val="0"/>
                <w:sz w:val="21"/>
                <w:szCs w:val="21"/>
                <w:lang w:val="en-US" w:eastAsia="zh-CN"/>
              </w:rPr>
            </w:pPr>
            <w:r>
              <w:rPr>
                <w:rFonts w:hint="eastAsia" w:ascii="Times New Roman" w:hAnsi="Times New Roman" w:cs="Times New Roman"/>
                <w:b/>
                <w:bCs/>
                <w:kern w:val="0"/>
                <w:sz w:val="21"/>
                <w:szCs w:val="21"/>
                <w:lang w:val="en-US" w:eastAsia="zh-CN"/>
              </w:rPr>
              <w:t>二级指标</w:t>
            </w:r>
          </w:p>
        </w:tc>
        <w:tc>
          <w:tcPr>
            <w:tcW w:w="1172" w:type="dxa"/>
            <w:vAlign w:val="center"/>
          </w:tcPr>
          <w:p w14:paraId="52D629BF">
            <w:pPr>
              <w:widowControl/>
              <w:adjustRightInd/>
              <w:spacing w:after="0" w:line="240" w:lineRule="auto"/>
              <w:jc w:val="center"/>
              <w:rPr>
                <w:rFonts w:hint="eastAsia" w:ascii="Times New Roman" w:hAnsi="Times New Roman" w:eastAsia="宋体" w:cs="Times New Roman"/>
                <w:b/>
                <w:bCs/>
                <w:kern w:val="0"/>
                <w:sz w:val="21"/>
                <w:szCs w:val="21"/>
                <w:lang w:val="en-US" w:eastAsia="zh-CN"/>
              </w:rPr>
            </w:pPr>
            <w:r>
              <w:rPr>
                <w:rFonts w:hint="eastAsia" w:ascii="Times New Roman" w:hAnsi="Times New Roman" w:cs="Times New Roman"/>
                <w:b/>
                <w:bCs/>
                <w:kern w:val="0"/>
                <w:sz w:val="21"/>
                <w:szCs w:val="21"/>
                <w:lang w:val="en-US" w:eastAsia="zh-CN"/>
              </w:rPr>
              <w:t>三级指标</w:t>
            </w:r>
          </w:p>
        </w:tc>
        <w:tc>
          <w:tcPr>
            <w:tcW w:w="1214" w:type="dxa"/>
            <w:vAlign w:val="center"/>
          </w:tcPr>
          <w:p w14:paraId="38E6C979">
            <w:pPr>
              <w:widowControl/>
              <w:adjustRightInd/>
              <w:spacing w:after="0" w:line="240" w:lineRule="auto"/>
              <w:jc w:val="center"/>
              <w:rPr>
                <w:rFonts w:hint="default" w:ascii="Times New Roman" w:hAnsi="Times New Roman" w:eastAsia="宋体" w:cs="Times New Roman"/>
                <w:b/>
                <w:bCs/>
                <w:kern w:val="0"/>
                <w:sz w:val="21"/>
                <w:szCs w:val="21"/>
                <w:lang w:val="en-US" w:eastAsia="zh-CN"/>
              </w:rPr>
            </w:pPr>
            <w:r>
              <w:rPr>
                <w:rFonts w:hint="eastAsia" w:ascii="Times New Roman" w:hAnsi="Times New Roman" w:cs="Times New Roman"/>
                <w:b/>
                <w:bCs/>
                <w:kern w:val="0"/>
                <w:sz w:val="21"/>
                <w:szCs w:val="21"/>
                <w:lang w:val="en-US" w:eastAsia="zh-CN"/>
              </w:rPr>
              <w:t>四级指标</w:t>
            </w:r>
          </w:p>
        </w:tc>
        <w:tc>
          <w:tcPr>
            <w:tcW w:w="4050" w:type="dxa"/>
            <w:vAlign w:val="center"/>
          </w:tcPr>
          <w:p w14:paraId="3BDBEB21">
            <w:pPr>
              <w:widowControl/>
              <w:adjustRightInd/>
              <w:spacing w:after="0" w:line="240" w:lineRule="auto"/>
              <w:jc w:val="center"/>
              <w:rPr>
                <w:rFonts w:hint="eastAsia" w:ascii="Times New Roman" w:hAnsi="Times New Roman" w:eastAsia="宋体" w:cs="Times New Roman"/>
                <w:b/>
                <w:bCs/>
                <w:kern w:val="0"/>
                <w:sz w:val="21"/>
                <w:szCs w:val="21"/>
                <w:lang w:val="en-US" w:eastAsia="zh-CN"/>
              </w:rPr>
            </w:pPr>
            <w:r>
              <w:rPr>
                <w:rFonts w:hint="eastAsia" w:ascii="Times New Roman" w:hAnsi="Times New Roman" w:cs="Times New Roman"/>
                <w:b/>
                <w:bCs/>
                <w:kern w:val="0"/>
                <w:sz w:val="21"/>
                <w:szCs w:val="21"/>
                <w:lang w:val="en-US" w:eastAsia="zh-CN"/>
              </w:rPr>
              <w:t>指标说明</w:t>
            </w:r>
          </w:p>
        </w:tc>
        <w:tc>
          <w:tcPr>
            <w:tcW w:w="777" w:type="dxa"/>
            <w:vAlign w:val="center"/>
          </w:tcPr>
          <w:p w14:paraId="0C15DA0E">
            <w:pPr>
              <w:widowControl/>
              <w:adjustRightInd/>
              <w:spacing w:after="0" w:line="240" w:lineRule="auto"/>
              <w:jc w:val="center"/>
              <w:rPr>
                <w:rFonts w:hint="eastAsia" w:ascii="Times New Roman" w:hAnsi="Times New Roman" w:eastAsia="宋体" w:cs="Times New Roman"/>
                <w:b/>
                <w:bCs/>
                <w:kern w:val="0"/>
                <w:sz w:val="21"/>
                <w:szCs w:val="21"/>
                <w:lang w:val="en-US" w:eastAsia="zh-CN"/>
              </w:rPr>
            </w:pPr>
            <w:r>
              <w:rPr>
                <w:rFonts w:hint="eastAsia" w:ascii="Times New Roman" w:hAnsi="Times New Roman" w:cs="Times New Roman"/>
                <w:b/>
                <w:bCs/>
                <w:kern w:val="0"/>
                <w:sz w:val="21"/>
                <w:szCs w:val="21"/>
                <w:lang w:val="en-US" w:eastAsia="zh-CN"/>
              </w:rPr>
              <w:t>分值</w:t>
            </w:r>
          </w:p>
        </w:tc>
      </w:tr>
      <w:tr w14:paraId="030A9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4" w:hRule="atLeast"/>
          <w:jc w:val="center"/>
        </w:trPr>
        <w:tc>
          <w:tcPr>
            <w:tcW w:w="1141" w:type="dxa"/>
            <w:vMerge w:val="restart"/>
            <w:vAlign w:val="center"/>
          </w:tcPr>
          <w:p w14:paraId="45115F89">
            <w:pPr>
              <w:widowControl/>
              <w:adjustRightInd/>
              <w:spacing w:after="0" w:line="240" w:lineRule="auto"/>
              <w:jc w:val="center"/>
              <w:rPr>
                <w:rFonts w:hint="default" w:ascii="Times New Roman" w:hAnsi="Times New Roman" w:cs="Times New Roman"/>
                <w:kern w:val="0"/>
                <w:sz w:val="21"/>
                <w:szCs w:val="21"/>
                <w:lang w:eastAsia="en-US"/>
              </w:rPr>
            </w:pPr>
          </w:p>
        </w:tc>
        <w:tc>
          <w:tcPr>
            <w:tcW w:w="1200" w:type="dxa"/>
            <w:vMerge w:val="restart"/>
            <w:vAlign w:val="center"/>
          </w:tcPr>
          <w:p w14:paraId="325FC398">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内部控制（4分）</w:t>
            </w:r>
          </w:p>
        </w:tc>
        <w:tc>
          <w:tcPr>
            <w:tcW w:w="1172" w:type="dxa"/>
            <w:vAlign w:val="center"/>
          </w:tcPr>
          <w:p w14:paraId="7D5F9A7E">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制度体系建设</w:t>
            </w:r>
          </w:p>
        </w:tc>
        <w:tc>
          <w:tcPr>
            <w:tcW w:w="1214" w:type="dxa"/>
            <w:vAlign w:val="center"/>
          </w:tcPr>
          <w:p w14:paraId="7646866F">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制度齐全</w:t>
            </w:r>
          </w:p>
        </w:tc>
        <w:tc>
          <w:tcPr>
            <w:tcW w:w="4050" w:type="dxa"/>
            <w:vAlign w:val="center"/>
          </w:tcPr>
          <w:p w14:paraId="5BB3FF74">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制度汇编；建立拍卖业务规则、财务管理、档案管理、安全生产、风险防控、数据安全管理等制度，齐全得1分</w:t>
            </w:r>
            <w:r>
              <w:rPr>
                <w:rFonts w:hint="eastAsia" w:ascii="Times New Roman" w:hAnsi="Times New Roman" w:cs="Times New Roman"/>
                <w:b w:val="0"/>
                <w:kern w:val="0"/>
                <w:sz w:val="21"/>
                <w:szCs w:val="21"/>
                <w:lang w:eastAsia="zh-CN"/>
              </w:rPr>
              <w:t>。</w:t>
            </w:r>
          </w:p>
        </w:tc>
        <w:tc>
          <w:tcPr>
            <w:tcW w:w="777" w:type="dxa"/>
            <w:vAlign w:val="center"/>
          </w:tcPr>
          <w:p w14:paraId="7B9FA866">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1</w:t>
            </w:r>
          </w:p>
        </w:tc>
      </w:tr>
      <w:tr w14:paraId="6789F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1141" w:type="dxa"/>
            <w:vMerge w:val="continue"/>
            <w:vAlign w:val="center"/>
          </w:tcPr>
          <w:p w14:paraId="507837DC">
            <w:pPr>
              <w:widowControl/>
              <w:adjustRightInd/>
              <w:spacing w:after="0" w:line="240" w:lineRule="auto"/>
              <w:jc w:val="center"/>
              <w:rPr>
                <w:rFonts w:hint="default" w:ascii="Times New Roman" w:hAnsi="Times New Roman" w:cs="Times New Roman"/>
                <w:kern w:val="0"/>
                <w:sz w:val="21"/>
                <w:szCs w:val="21"/>
                <w:lang w:eastAsia="en-US"/>
              </w:rPr>
            </w:pPr>
          </w:p>
        </w:tc>
        <w:tc>
          <w:tcPr>
            <w:tcW w:w="1200" w:type="dxa"/>
            <w:vMerge w:val="continue"/>
            <w:vAlign w:val="center"/>
          </w:tcPr>
          <w:p w14:paraId="03B04516">
            <w:pPr>
              <w:widowControl/>
              <w:adjustRightInd/>
              <w:spacing w:after="0" w:line="240" w:lineRule="auto"/>
              <w:jc w:val="center"/>
              <w:rPr>
                <w:rFonts w:hint="default" w:ascii="Times New Roman" w:hAnsi="Times New Roman" w:cs="Times New Roman"/>
                <w:kern w:val="0"/>
                <w:sz w:val="21"/>
                <w:szCs w:val="21"/>
                <w:lang w:eastAsia="en-US"/>
              </w:rPr>
            </w:pPr>
          </w:p>
        </w:tc>
        <w:tc>
          <w:tcPr>
            <w:tcW w:w="1172" w:type="dxa"/>
            <w:vAlign w:val="center"/>
          </w:tcPr>
          <w:p w14:paraId="44F79DB0">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制度执行有效性</w:t>
            </w:r>
          </w:p>
        </w:tc>
        <w:tc>
          <w:tcPr>
            <w:tcW w:w="1214" w:type="dxa"/>
            <w:vAlign w:val="center"/>
          </w:tcPr>
          <w:p w14:paraId="587D757A">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有执行记录，问题已整改</w:t>
            </w:r>
          </w:p>
        </w:tc>
        <w:tc>
          <w:tcPr>
            <w:tcW w:w="4050" w:type="dxa"/>
            <w:vAlign w:val="center"/>
          </w:tcPr>
          <w:p w14:paraId="25EC6AB1">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执行记录；各项制度有执行记录，内部审计或检查发现问题已整改得1分</w:t>
            </w:r>
            <w:r>
              <w:rPr>
                <w:rFonts w:hint="eastAsia" w:ascii="Times New Roman" w:hAnsi="Times New Roman" w:cs="Times New Roman"/>
                <w:b w:val="0"/>
                <w:kern w:val="0"/>
                <w:sz w:val="21"/>
                <w:szCs w:val="21"/>
                <w:lang w:eastAsia="zh-CN"/>
              </w:rPr>
              <w:t>。</w:t>
            </w:r>
          </w:p>
        </w:tc>
        <w:tc>
          <w:tcPr>
            <w:tcW w:w="777" w:type="dxa"/>
            <w:vAlign w:val="center"/>
          </w:tcPr>
          <w:p w14:paraId="1765312B">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1</w:t>
            </w:r>
          </w:p>
        </w:tc>
      </w:tr>
      <w:tr w14:paraId="24155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2" w:hRule="atLeast"/>
          <w:jc w:val="center"/>
        </w:trPr>
        <w:tc>
          <w:tcPr>
            <w:tcW w:w="1141" w:type="dxa"/>
            <w:vMerge w:val="continue"/>
            <w:vAlign w:val="center"/>
          </w:tcPr>
          <w:p w14:paraId="333B5CDD">
            <w:pPr>
              <w:widowControl/>
              <w:adjustRightInd/>
              <w:spacing w:after="0" w:line="240" w:lineRule="auto"/>
              <w:jc w:val="center"/>
              <w:rPr>
                <w:rFonts w:hint="default" w:ascii="Times New Roman" w:hAnsi="Times New Roman" w:cs="Times New Roman"/>
                <w:kern w:val="0"/>
                <w:sz w:val="21"/>
                <w:szCs w:val="21"/>
                <w:lang w:eastAsia="en-US"/>
              </w:rPr>
            </w:pPr>
          </w:p>
        </w:tc>
        <w:tc>
          <w:tcPr>
            <w:tcW w:w="1200" w:type="dxa"/>
            <w:vMerge w:val="continue"/>
            <w:vAlign w:val="center"/>
          </w:tcPr>
          <w:p w14:paraId="21237F13">
            <w:pPr>
              <w:widowControl/>
              <w:adjustRightInd/>
              <w:spacing w:after="0" w:line="240" w:lineRule="auto"/>
              <w:jc w:val="center"/>
              <w:rPr>
                <w:rFonts w:hint="default" w:ascii="Times New Roman" w:hAnsi="Times New Roman" w:cs="Times New Roman"/>
                <w:kern w:val="0"/>
                <w:sz w:val="21"/>
                <w:szCs w:val="21"/>
                <w:lang w:eastAsia="en-US"/>
              </w:rPr>
            </w:pPr>
          </w:p>
        </w:tc>
        <w:tc>
          <w:tcPr>
            <w:tcW w:w="1172" w:type="dxa"/>
            <w:vAlign w:val="center"/>
          </w:tcPr>
          <w:p w14:paraId="708C7E4E">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合规培训</w:t>
            </w:r>
          </w:p>
        </w:tc>
        <w:tc>
          <w:tcPr>
            <w:tcW w:w="1214" w:type="dxa"/>
            <w:vAlign w:val="center"/>
          </w:tcPr>
          <w:p w14:paraId="5B0FBDCA">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每年至少组织2次培训</w:t>
            </w:r>
          </w:p>
        </w:tc>
        <w:tc>
          <w:tcPr>
            <w:tcW w:w="4050" w:type="dxa"/>
            <w:vAlign w:val="center"/>
          </w:tcPr>
          <w:p w14:paraId="29645BC4">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培训记录；每年至少组织2次法律法规、职业道德、业务规范培训，有培训记录和签到表得1分</w:t>
            </w:r>
            <w:r>
              <w:rPr>
                <w:rFonts w:hint="eastAsia" w:ascii="Times New Roman" w:hAnsi="Times New Roman" w:cs="Times New Roman"/>
                <w:b w:val="0"/>
                <w:kern w:val="0"/>
                <w:sz w:val="21"/>
                <w:szCs w:val="21"/>
                <w:lang w:eastAsia="zh-CN"/>
              </w:rPr>
              <w:t>。</w:t>
            </w:r>
          </w:p>
        </w:tc>
        <w:tc>
          <w:tcPr>
            <w:tcW w:w="777" w:type="dxa"/>
            <w:vAlign w:val="center"/>
          </w:tcPr>
          <w:p w14:paraId="7DE64F56">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1</w:t>
            </w:r>
          </w:p>
        </w:tc>
      </w:tr>
      <w:tr w14:paraId="47F34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jc w:val="center"/>
        </w:trPr>
        <w:tc>
          <w:tcPr>
            <w:tcW w:w="1141" w:type="dxa"/>
            <w:vMerge w:val="continue"/>
            <w:vAlign w:val="center"/>
          </w:tcPr>
          <w:p w14:paraId="74E73673">
            <w:pPr>
              <w:widowControl/>
              <w:adjustRightInd/>
              <w:spacing w:after="0" w:line="240" w:lineRule="auto"/>
              <w:jc w:val="center"/>
              <w:rPr>
                <w:rFonts w:hint="default" w:ascii="Times New Roman" w:hAnsi="Times New Roman" w:cs="Times New Roman"/>
                <w:kern w:val="0"/>
                <w:sz w:val="21"/>
                <w:szCs w:val="21"/>
                <w:lang w:eastAsia="en-US"/>
              </w:rPr>
            </w:pPr>
          </w:p>
        </w:tc>
        <w:tc>
          <w:tcPr>
            <w:tcW w:w="1200" w:type="dxa"/>
            <w:vMerge w:val="continue"/>
            <w:vAlign w:val="center"/>
          </w:tcPr>
          <w:p w14:paraId="064D9C4F">
            <w:pPr>
              <w:widowControl/>
              <w:adjustRightInd/>
              <w:spacing w:after="0" w:line="240" w:lineRule="auto"/>
              <w:jc w:val="center"/>
              <w:rPr>
                <w:rFonts w:hint="default" w:ascii="Times New Roman" w:hAnsi="Times New Roman" w:cs="Times New Roman"/>
                <w:kern w:val="0"/>
                <w:sz w:val="21"/>
                <w:szCs w:val="21"/>
                <w:lang w:eastAsia="en-US"/>
              </w:rPr>
            </w:pPr>
          </w:p>
        </w:tc>
        <w:tc>
          <w:tcPr>
            <w:tcW w:w="1172" w:type="dxa"/>
            <w:vAlign w:val="center"/>
          </w:tcPr>
          <w:p w14:paraId="4D00F9D4">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内控信息化</w:t>
            </w:r>
          </w:p>
        </w:tc>
        <w:tc>
          <w:tcPr>
            <w:tcW w:w="1214" w:type="dxa"/>
            <w:vAlign w:val="center"/>
          </w:tcPr>
          <w:p w14:paraId="6809703D">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内部流程数字化</w:t>
            </w:r>
          </w:p>
        </w:tc>
        <w:tc>
          <w:tcPr>
            <w:tcW w:w="4050" w:type="dxa"/>
            <w:vAlign w:val="center"/>
          </w:tcPr>
          <w:p w14:paraId="7BFC6A73">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系统截图；运用信息化手段实现内部审批、档案管理、财务管理等流程数字化得1分</w:t>
            </w:r>
          </w:p>
        </w:tc>
        <w:tc>
          <w:tcPr>
            <w:tcW w:w="777" w:type="dxa"/>
            <w:vAlign w:val="center"/>
          </w:tcPr>
          <w:p w14:paraId="0FBDDD1B">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1</w:t>
            </w:r>
          </w:p>
        </w:tc>
      </w:tr>
      <w:tr w14:paraId="37348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2" w:hRule="atLeast"/>
          <w:jc w:val="center"/>
        </w:trPr>
        <w:tc>
          <w:tcPr>
            <w:tcW w:w="1141" w:type="dxa"/>
            <w:vMerge w:val="continue"/>
            <w:vAlign w:val="center"/>
          </w:tcPr>
          <w:p w14:paraId="38082972">
            <w:pPr>
              <w:widowControl/>
              <w:adjustRightInd/>
              <w:spacing w:after="0" w:line="240" w:lineRule="auto"/>
              <w:jc w:val="center"/>
              <w:rPr>
                <w:rFonts w:hint="default" w:ascii="Times New Roman" w:hAnsi="Times New Roman" w:cs="Times New Roman"/>
                <w:kern w:val="0"/>
                <w:sz w:val="21"/>
                <w:szCs w:val="21"/>
                <w:lang w:eastAsia="en-US"/>
              </w:rPr>
            </w:pPr>
          </w:p>
        </w:tc>
        <w:tc>
          <w:tcPr>
            <w:tcW w:w="1200" w:type="dxa"/>
            <w:vMerge w:val="restart"/>
            <w:vAlign w:val="center"/>
          </w:tcPr>
          <w:p w14:paraId="7BD9692E">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行业自律（2分）</w:t>
            </w:r>
          </w:p>
        </w:tc>
        <w:tc>
          <w:tcPr>
            <w:tcW w:w="1172" w:type="dxa"/>
            <w:vAlign w:val="center"/>
          </w:tcPr>
          <w:p w14:paraId="465ECD75">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协会会员资格</w:t>
            </w:r>
          </w:p>
        </w:tc>
        <w:tc>
          <w:tcPr>
            <w:tcW w:w="1214" w:type="dxa"/>
            <w:vAlign w:val="center"/>
          </w:tcPr>
          <w:p w14:paraId="68951C9F">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加入省级及国家级协会</w:t>
            </w:r>
          </w:p>
        </w:tc>
        <w:tc>
          <w:tcPr>
            <w:tcW w:w="4050" w:type="dxa"/>
            <w:vAlign w:val="center"/>
          </w:tcPr>
          <w:p w14:paraId="094AFE31">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会员证书；加入湖南省拍卖行业协会及中国拍卖行业协会得1分，仅加入省级得0.5分</w:t>
            </w:r>
            <w:r>
              <w:rPr>
                <w:rFonts w:hint="eastAsia" w:ascii="Times New Roman" w:hAnsi="Times New Roman" w:cs="Times New Roman"/>
                <w:b w:val="0"/>
                <w:kern w:val="0"/>
                <w:sz w:val="21"/>
                <w:szCs w:val="21"/>
                <w:lang w:eastAsia="zh-CN"/>
              </w:rPr>
              <w:t>。</w:t>
            </w:r>
          </w:p>
        </w:tc>
        <w:tc>
          <w:tcPr>
            <w:tcW w:w="777" w:type="dxa"/>
            <w:vAlign w:val="center"/>
          </w:tcPr>
          <w:p w14:paraId="119833E5">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1</w:t>
            </w:r>
          </w:p>
        </w:tc>
      </w:tr>
      <w:tr w14:paraId="7BCDE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jc w:val="center"/>
        </w:trPr>
        <w:tc>
          <w:tcPr>
            <w:tcW w:w="1141" w:type="dxa"/>
            <w:vMerge w:val="continue"/>
            <w:vAlign w:val="center"/>
          </w:tcPr>
          <w:p w14:paraId="6B322A89">
            <w:pPr>
              <w:widowControl/>
              <w:adjustRightInd/>
              <w:spacing w:after="0" w:line="240" w:lineRule="auto"/>
              <w:jc w:val="center"/>
              <w:rPr>
                <w:rFonts w:hint="default" w:ascii="Times New Roman" w:hAnsi="Times New Roman" w:cs="Times New Roman"/>
                <w:kern w:val="0"/>
                <w:sz w:val="21"/>
                <w:szCs w:val="21"/>
                <w:lang w:eastAsia="en-US"/>
              </w:rPr>
            </w:pPr>
          </w:p>
        </w:tc>
        <w:tc>
          <w:tcPr>
            <w:tcW w:w="1200" w:type="dxa"/>
            <w:vMerge w:val="continue"/>
            <w:vAlign w:val="center"/>
          </w:tcPr>
          <w:p w14:paraId="37898776">
            <w:pPr>
              <w:widowControl/>
              <w:adjustRightInd/>
              <w:spacing w:after="0" w:line="240" w:lineRule="auto"/>
              <w:jc w:val="center"/>
              <w:rPr>
                <w:rFonts w:hint="default" w:ascii="Times New Roman" w:hAnsi="Times New Roman" w:cs="Times New Roman"/>
                <w:kern w:val="0"/>
                <w:sz w:val="21"/>
                <w:szCs w:val="21"/>
                <w:lang w:eastAsia="en-US"/>
              </w:rPr>
            </w:pPr>
          </w:p>
        </w:tc>
        <w:tc>
          <w:tcPr>
            <w:tcW w:w="1172" w:type="dxa"/>
            <w:vAlign w:val="center"/>
          </w:tcPr>
          <w:p w14:paraId="330D79D0">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自律承诺与信息报送</w:t>
            </w:r>
          </w:p>
        </w:tc>
        <w:tc>
          <w:tcPr>
            <w:tcW w:w="1214" w:type="dxa"/>
            <w:vAlign w:val="center"/>
          </w:tcPr>
          <w:p w14:paraId="7404DF99">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签署自律公约，按时报送信息</w:t>
            </w:r>
          </w:p>
        </w:tc>
        <w:tc>
          <w:tcPr>
            <w:tcW w:w="4050" w:type="dxa"/>
            <w:vAlign w:val="center"/>
          </w:tcPr>
          <w:p w14:paraId="1D0E6663">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协会证明；签署行业自律公约且无违规记录，按时准确报送行业统计信息得1分</w:t>
            </w:r>
            <w:r>
              <w:rPr>
                <w:rFonts w:hint="eastAsia" w:ascii="Times New Roman" w:hAnsi="Times New Roman" w:cs="Times New Roman"/>
                <w:b w:val="0"/>
                <w:kern w:val="0"/>
                <w:sz w:val="21"/>
                <w:szCs w:val="21"/>
                <w:lang w:eastAsia="zh-CN"/>
              </w:rPr>
              <w:t>。</w:t>
            </w:r>
          </w:p>
        </w:tc>
        <w:tc>
          <w:tcPr>
            <w:tcW w:w="777" w:type="dxa"/>
            <w:vAlign w:val="center"/>
          </w:tcPr>
          <w:p w14:paraId="47209F91">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1</w:t>
            </w:r>
          </w:p>
        </w:tc>
      </w:tr>
      <w:tr w14:paraId="08832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9" w:hRule="atLeast"/>
          <w:jc w:val="center"/>
        </w:trPr>
        <w:tc>
          <w:tcPr>
            <w:tcW w:w="1141" w:type="dxa"/>
            <w:vMerge w:val="restart"/>
            <w:vAlign w:val="center"/>
          </w:tcPr>
          <w:p w14:paraId="7C3B54F1">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经营能力（30分）</w:t>
            </w:r>
          </w:p>
        </w:tc>
        <w:tc>
          <w:tcPr>
            <w:tcW w:w="1200" w:type="dxa"/>
            <w:vMerge w:val="restart"/>
            <w:vAlign w:val="center"/>
          </w:tcPr>
          <w:p w14:paraId="3320B0D9">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专业人员配置（8分）</w:t>
            </w:r>
          </w:p>
        </w:tc>
        <w:tc>
          <w:tcPr>
            <w:tcW w:w="1172" w:type="dxa"/>
            <w:vAlign w:val="center"/>
          </w:tcPr>
          <w:p w14:paraId="2E4382D1">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拍卖师配置</w:t>
            </w:r>
          </w:p>
        </w:tc>
        <w:tc>
          <w:tcPr>
            <w:tcW w:w="1214" w:type="dxa"/>
            <w:vAlign w:val="center"/>
          </w:tcPr>
          <w:p w14:paraId="6A5AA301">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数量及执业状态</w:t>
            </w:r>
          </w:p>
        </w:tc>
        <w:tc>
          <w:tcPr>
            <w:tcW w:w="4050" w:type="dxa"/>
            <w:vAlign w:val="center"/>
          </w:tcPr>
          <w:p w14:paraId="653AA429">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资格证书；拥有1名注册拍卖师得1分，每增加1名加0.5分，满分3分；拍卖师执业资格有效且注册在本企业</w:t>
            </w:r>
            <w:r>
              <w:rPr>
                <w:rFonts w:hint="eastAsia" w:ascii="Times New Roman" w:hAnsi="Times New Roman" w:cs="Times New Roman"/>
                <w:b w:val="0"/>
                <w:kern w:val="0"/>
                <w:sz w:val="21"/>
                <w:szCs w:val="21"/>
                <w:lang w:eastAsia="zh-CN"/>
              </w:rPr>
              <w:t>。</w:t>
            </w:r>
          </w:p>
        </w:tc>
        <w:tc>
          <w:tcPr>
            <w:tcW w:w="777" w:type="dxa"/>
            <w:vAlign w:val="center"/>
          </w:tcPr>
          <w:p w14:paraId="73363816">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3</w:t>
            </w:r>
          </w:p>
        </w:tc>
      </w:tr>
      <w:tr w14:paraId="4FF59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jc w:val="center"/>
        </w:trPr>
        <w:tc>
          <w:tcPr>
            <w:tcW w:w="1141" w:type="dxa"/>
            <w:vMerge w:val="continue"/>
            <w:vAlign w:val="center"/>
          </w:tcPr>
          <w:p w14:paraId="4D2BF93C">
            <w:pPr>
              <w:widowControl/>
              <w:adjustRightInd/>
              <w:spacing w:after="0" w:line="240" w:lineRule="auto"/>
              <w:jc w:val="center"/>
              <w:rPr>
                <w:rFonts w:hint="default" w:ascii="Times New Roman" w:hAnsi="Times New Roman" w:cs="Times New Roman"/>
                <w:kern w:val="0"/>
                <w:sz w:val="21"/>
                <w:szCs w:val="21"/>
                <w:lang w:eastAsia="en-US"/>
              </w:rPr>
            </w:pPr>
          </w:p>
        </w:tc>
        <w:tc>
          <w:tcPr>
            <w:tcW w:w="1200" w:type="dxa"/>
            <w:vMerge w:val="continue"/>
            <w:vAlign w:val="center"/>
          </w:tcPr>
          <w:p w14:paraId="09B72CFA">
            <w:pPr>
              <w:widowControl/>
              <w:adjustRightInd/>
              <w:spacing w:after="0" w:line="240" w:lineRule="auto"/>
              <w:jc w:val="center"/>
              <w:rPr>
                <w:rFonts w:hint="default" w:ascii="Times New Roman" w:hAnsi="Times New Roman" w:cs="Times New Roman"/>
                <w:kern w:val="0"/>
                <w:sz w:val="21"/>
                <w:szCs w:val="21"/>
                <w:lang w:eastAsia="en-US"/>
              </w:rPr>
            </w:pPr>
          </w:p>
        </w:tc>
        <w:tc>
          <w:tcPr>
            <w:tcW w:w="1172" w:type="dxa"/>
            <w:vAlign w:val="center"/>
          </w:tcPr>
          <w:p w14:paraId="04DB4FBB">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专业人员结构</w:t>
            </w:r>
          </w:p>
        </w:tc>
        <w:tc>
          <w:tcPr>
            <w:tcW w:w="1214" w:type="dxa"/>
            <w:vAlign w:val="center"/>
          </w:tcPr>
          <w:p w14:paraId="0E98F85B">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文物、评估、鉴定等专业人员</w:t>
            </w:r>
          </w:p>
        </w:tc>
        <w:tc>
          <w:tcPr>
            <w:tcW w:w="4050" w:type="dxa"/>
            <w:vAlign w:val="center"/>
          </w:tcPr>
          <w:p w14:paraId="3E286CE2">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资质证书；配备文物拍卖专业人员、评估师、鉴定师、律师等，每类0.5分，满分3分</w:t>
            </w:r>
            <w:r>
              <w:rPr>
                <w:rFonts w:hint="eastAsia" w:ascii="Times New Roman" w:hAnsi="Times New Roman" w:cs="Times New Roman"/>
                <w:b w:val="0"/>
                <w:kern w:val="0"/>
                <w:sz w:val="21"/>
                <w:szCs w:val="21"/>
                <w:lang w:eastAsia="zh-CN"/>
              </w:rPr>
              <w:t>。</w:t>
            </w:r>
          </w:p>
        </w:tc>
        <w:tc>
          <w:tcPr>
            <w:tcW w:w="777" w:type="dxa"/>
            <w:vAlign w:val="center"/>
          </w:tcPr>
          <w:p w14:paraId="127D2B2E">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3</w:t>
            </w:r>
          </w:p>
        </w:tc>
      </w:tr>
      <w:tr w14:paraId="59D1E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2" w:hRule="atLeast"/>
          <w:jc w:val="center"/>
        </w:trPr>
        <w:tc>
          <w:tcPr>
            <w:tcW w:w="1141" w:type="dxa"/>
            <w:vMerge w:val="continue"/>
            <w:vAlign w:val="center"/>
          </w:tcPr>
          <w:p w14:paraId="23F2950D">
            <w:pPr>
              <w:widowControl/>
              <w:adjustRightInd/>
              <w:spacing w:after="0" w:line="240" w:lineRule="auto"/>
              <w:jc w:val="center"/>
              <w:rPr>
                <w:rFonts w:hint="default" w:ascii="Times New Roman" w:hAnsi="Times New Roman" w:cs="Times New Roman"/>
                <w:kern w:val="0"/>
                <w:sz w:val="21"/>
                <w:szCs w:val="21"/>
                <w:lang w:eastAsia="en-US"/>
              </w:rPr>
            </w:pPr>
          </w:p>
        </w:tc>
        <w:tc>
          <w:tcPr>
            <w:tcW w:w="1200" w:type="dxa"/>
            <w:vMerge w:val="continue"/>
            <w:vAlign w:val="center"/>
          </w:tcPr>
          <w:p w14:paraId="61ABC5A1">
            <w:pPr>
              <w:widowControl/>
              <w:adjustRightInd/>
              <w:spacing w:after="0" w:line="240" w:lineRule="auto"/>
              <w:jc w:val="center"/>
              <w:rPr>
                <w:rFonts w:hint="default" w:ascii="Times New Roman" w:hAnsi="Times New Roman" w:cs="Times New Roman"/>
                <w:kern w:val="0"/>
                <w:sz w:val="21"/>
                <w:szCs w:val="21"/>
                <w:lang w:eastAsia="en-US"/>
              </w:rPr>
            </w:pPr>
          </w:p>
        </w:tc>
        <w:tc>
          <w:tcPr>
            <w:tcW w:w="1172" w:type="dxa"/>
            <w:vAlign w:val="center"/>
          </w:tcPr>
          <w:p w14:paraId="3A9E3A18">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人员稳定性</w:t>
            </w:r>
          </w:p>
        </w:tc>
        <w:tc>
          <w:tcPr>
            <w:tcW w:w="1214" w:type="dxa"/>
            <w:vAlign w:val="center"/>
          </w:tcPr>
          <w:p w14:paraId="7F6DE030">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核心人员平均任职年限</w:t>
            </w:r>
          </w:p>
        </w:tc>
        <w:tc>
          <w:tcPr>
            <w:tcW w:w="4050" w:type="dxa"/>
            <w:vAlign w:val="center"/>
          </w:tcPr>
          <w:p w14:paraId="631A3E1E">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劳动合同、社保；核心专业人员平均任职3年以上得2分，2—3年得1分，不足2年得0.5分</w:t>
            </w:r>
            <w:r>
              <w:rPr>
                <w:rFonts w:hint="eastAsia" w:ascii="Times New Roman" w:hAnsi="Times New Roman" w:cs="Times New Roman"/>
                <w:b w:val="0"/>
                <w:kern w:val="0"/>
                <w:sz w:val="21"/>
                <w:szCs w:val="21"/>
                <w:lang w:eastAsia="zh-CN"/>
              </w:rPr>
              <w:t>。</w:t>
            </w:r>
          </w:p>
        </w:tc>
        <w:tc>
          <w:tcPr>
            <w:tcW w:w="777" w:type="dxa"/>
            <w:vAlign w:val="center"/>
          </w:tcPr>
          <w:p w14:paraId="525021F8">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2</w:t>
            </w:r>
          </w:p>
        </w:tc>
      </w:tr>
      <w:tr w14:paraId="3AFD5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2" w:hRule="atLeast"/>
          <w:jc w:val="center"/>
        </w:trPr>
        <w:tc>
          <w:tcPr>
            <w:tcW w:w="1141" w:type="dxa"/>
            <w:vMerge w:val="continue"/>
            <w:vAlign w:val="center"/>
          </w:tcPr>
          <w:p w14:paraId="6B597B22">
            <w:pPr>
              <w:widowControl/>
              <w:adjustRightInd/>
              <w:spacing w:after="0" w:line="240" w:lineRule="auto"/>
              <w:jc w:val="center"/>
              <w:rPr>
                <w:rFonts w:hint="default" w:ascii="Times New Roman" w:hAnsi="Times New Roman" w:cs="Times New Roman"/>
                <w:kern w:val="0"/>
                <w:sz w:val="21"/>
                <w:szCs w:val="21"/>
                <w:lang w:eastAsia="en-US"/>
              </w:rPr>
            </w:pPr>
          </w:p>
        </w:tc>
        <w:tc>
          <w:tcPr>
            <w:tcW w:w="1200" w:type="dxa"/>
            <w:vAlign w:val="center"/>
          </w:tcPr>
          <w:p w14:paraId="63E5B9BB">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经营场所与设施（5分）</w:t>
            </w:r>
          </w:p>
        </w:tc>
        <w:tc>
          <w:tcPr>
            <w:tcW w:w="1172" w:type="dxa"/>
            <w:vAlign w:val="center"/>
          </w:tcPr>
          <w:p w14:paraId="535F8827">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固定经营场所</w:t>
            </w:r>
          </w:p>
        </w:tc>
        <w:tc>
          <w:tcPr>
            <w:tcW w:w="1214" w:type="dxa"/>
            <w:vAlign w:val="center"/>
          </w:tcPr>
          <w:p w14:paraId="6CDBBA01">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办公场所及拍卖厅符合要求</w:t>
            </w:r>
          </w:p>
        </w:tc>
        <w:tc>
          <w:tcPr>
            <w:tcW w:w="4050" w:type="dxa"/>
            <w:vAlign w:val="center"/>
          </w:tcPr>
          <w:p w14:paraId="000E8795">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产权/租赁合同；具有固定办公场所和拍卖厅（室），面积及功能符合行业标准得2分</w:t>
            </w:r>
            <w:r>
              <w:rPr>
                <w:rFonts w:hint="eastAsia" w:ascii="Times New Roman" w:hAnsi="Times New Roman" w:cs="Times New Roman"/>
                <w:b w:val="0"/>
                <w:kern w:val="0"/>
                <w:sz w:val="21"/>
                <w:szCs w:val="21"/>
                <w:lang w:eastAsia="zh-CN"/>
              </w:rPr>
              <w:t>。</w:t>
            </w:r>
          </w:p>
        </w:tc>
        <w:tc>
          <w:tcPr>
            <w:tcW w:w="777" w:type="dxa"/>
            <w:vAlign w:val="center"/>
          </w:tcPr>
          <w:p w14:paraId="1469E953">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2</w:t>
            </w:r>
          </w:p>
        </w:tc>
      </w:tr>
    </w:tbl>
    <w:p w14:paraId="7C85EDF7">
      <w:pPr>
        <w:pStyle w:val="35"/>
        <w:ind w:firstLine="0" w:firstLineChars="0"/>
        <w:rPr>
          <w:rFonts w:hint="eastAsia"/>
        </w:rPr>
      </w:pPr>
    </w:p>
    <w:p w14:paraId="33632D37">
      <w:pPr>
        <w:pStyle w:val="88"/>
        <w:numPr>
          <w:ilvl w:val="1"/>
          <w:numId w:val="33"/>
        </w:numPr>
        <w:bidi w:val="0"/>
        <w:rPr>
          <w:rFonts w:hint="eastAsia"/>
        </w:rPr>
      </w:pPr>
      <w:r>
        <w:rPr>
          <w:rFonts w:hint="eastAsia"/>
        </w:rPr>
        <w:t>拍卖企业信用评价表（续）</w:t>
      </w:r>
    </w:p>
    <w:tbl>
      <w:tblPr>
        <w:tblStyle w:val="27"/>
        <w:tblW w:w="94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2"/>
        <w:gridCol w:w="1136"/>
        <w:gridCol w:w="1186"/>
        <w:gridCol w:w="1186"/>
        <w:gridCol w:w="4064"/>
        <w:gridCol w:w="791"/>
      </w:tblGrid>
      <w:tr w14:paraId="74D1B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1132" w:type="dxa"/>
            <w:vAlign w:val="center"/>
          </w:tcPr>
          <w:p w14:paraId="657430E0">
            <w:pPr>
              <w:widowControl/>
              <w:adjustRightInd/>
              <w:spacing w:after="0" w:line="240" w:lineRule="auto"/>
              <w:jc w:val="center"/>
              <w:rPr>
                <w:rFonts w:hint="default" w:ascii="Times New Roman" w:hAnsi="Times New Roman" w:cs="Times New Roman"/>
                <w:b/>
                <w:bCs/>
                <w:kern w:val="0"/>
                <w:sz w:val="21"/>
                <w:szCs w:val="21"/>
                <w:lang w:eastAsia="en-US"/>
              </w:rPr>
            </w:pPr>
            <w:r>
              <w:rPr>
                <w:rFonts w:hint="default" w:ascii="Times New Roman" w:hAnsi="Times New Roman" w:cs="Times New Roman"/>
                <w:b/>
                <w:bCs/>
                <w:kern w:val="0"/>
                <w:sz w:val="21"/>
                <w:szCs w:val="21"/>
                <w:lang w:eastAsia="en-US"/>
              </w:rPr>
              <w:t>一级指标</w:t>
            </w:r>
          </w:p>
        </w:tc>
        <w:tc>
          <w:tcPr>
            <w:tcW w:w="1136" w:type="dxa"/>
            <w:vAlign w:val="center"/>
          </w:tcPr>
          <w:p w14:paraId="1E146B43">
            <w:pPr>
              <w:widowControl/>
              <w:adjustRightInd/>
              <w:spacing w:after="0" w:line="240" w:lineRule="auto"/>
              <w:jc w:val="center"/>
              <w:rPr>
                <w:rFonts w:hint="default" w:ascii="Times New Roman" w:hAnsi="Times New Roman" w:cs="Times New Roman"/>
                <w:b/>
                <w:bCs/>
                <w:kern w:val="0"/>
                <w:sz w:val="21"/>
                <w:szCs w:val="21"/>
                <w:lang w:eastAsia="en-US"/>
              </w:rPr>
            </w:pPr>
            <w:r>
              <w:rPr>
                <w:rFonts w:hint="eastAsia" w:ascii="Times New Roman" w:hAnsi="Times New Roman" w:cs="Times New Roman"/>
                <w:b/>
                <w:bCs/>
                <w:kern w:val="0"/>
                <w:sz w:val="21"/>
                <w:szCs w:val="21"/>
                <w:lang w:val="en-US" w:eastAsia="zh-CN"/>
              </w:rPr>
              <w:t>二</w:t>
            </w:r>
            <w:r>
              <w:rPr>
                <w:rFonts w:hint="default" w:ascii="Times New Roman" w:hAnsi="Times New Roman" w:cs="Times New Roman"/>
                <w:b/>
                <w:bCs/>
                <w:kern w:val="0"/>
                <w:sz w:val="21"/>
                <w:szCs w:val="21"/>
                <w:lang w:eastAsia="en-US"/>
              </w:rPr>
              <w:t>级指标</w:t>
            </w:r>
          </w:p>
        </w:tc>
        <w:tc>
          <w:tcPr>
            <w:tcW w:w="1186" w:type="dxa"/>
            <w:vAlign w:val="center"/>
          </w:tcPr>
          <w:p w14:paraId="42C1FEC5">
            <w:pPr>
              <w:widowControl/>
              <w:adjustRightInd/>
              <w:spacing w:after="0" w:line="240" w:lineRule="auto"/>
              <w:jc w:val="center"/>
              <w:rPr>
                <w:rFonts w:hint="default" w:ascii="Times New Roman" w:hAnsi="Times New Roman" w:eastAsia="宋体" w:cs="Times New Roman"/>
                <w:b/>
                <w:bCs/>
                <w:kern w:val="0"/>
                <w:sz w:val="21"/>
                <w:szCs w:val="21"/>
                <w:lang w:val="en-US" w:eastAsia="zh-CN"/>
              </w:rPr>
            </w:pPr>
            <w:r>
              <w:rPr>
                <w:rFonts w:hint="eastAsia" w:ascii="Times New Roman" w:hAnsi="Times New Roman" w:cs="Times New Roman"/>
                <w:b/>
                <w:bCs/>
                <w:kern w:val="0"/>
                <w:sz w:val="21"/>
                <w:szCs w:val="21"/>
                <w:lang w:val="en-US" w:eastAsia="zh-CN"/>
              </w:rPr>
              <w:t>三级指标</w:t>
            </w:r>
          </w:p>
        </w:tc>
        <w:tc>
          <w:tcPr>
            <w:tcW w:w="1186" w:type="dxa"/>
            <w:vAlign w:val="center"/>
          </w:tcPr>
          <w:p w14:paraId="38FA505E">
            <w:pPr>
              <w:widowControl/>
              <w:adjustRightInd/>
              <w:spacing w:after="0" w:line="240" w:lineRule="auto"/>
              <w:jc w:val="center"/>
              <w:rPr>
                <w:rFonts w:hint="eastAsia" w:ascii="Times New Roman" w:hAnsi="Times New Roman" w:eastAsia="宋体" w:cs="Times New Roman"/>
                <w:b/>
                <w:bCs/>
                <w:kern w:val="0"/>
                <w:sz w:val="21"/>
                <w:szCs w:val="21"/>
                <w:lang w:val="en-US" w:eastAsia="zh-CN"/>
              </w:rPr>
            </w:pPr>
            <w:r>
              <w:rPr>
                <w:rFonts w:hint="eastAsia" w:ascii="Times New Roman" w:hAnsi="Times New Roman" w:cs="Times New Roman"/>
                <w:b/>
                <w:bCs/>
                <w:kern w:val="0"/>
                <w:sz w:val="21"/>
                <w:szCs w:val="21"/>
                <w:lang w:val="en-US" w:eastAsia="zh-CN"/>
              </w:rPr>
              <w:t>四级指标</w:t>
            </w:r>
          </w:p>
        </w:tc>
        <w:tc>
          <w:tcPr>
            <w:tcW w:w="4064" w:type="dxa"/>
            <w:vAlign w:val="center"/>
          </w:tcPr>
          <w:p w14:paraId="60344E55">
            <w:pPr>
              <w:widowControl/>
              <w:adjustRightInd/>
              <w:spacing w:after="0" w:line="240" w:lineRule="auto"/>
              <w:jc w:val="center"/>
              <w:rPr>
                <w:rFonts w:hint="default" w:ascii="Times New Roman" w:hAnsi="Times New Roman" w:eastAsia="宋体" w:cs="Times New Roman"/>
                <w:b/>
                <w:bCs/>
                <w:kern w:val="0"/>
                <w:sz w:val="21"/>
                <w:szCs w:val="21"/>
                <w:lang w:val="en-US" w:eastAsia="zh-CN"/>
              </w:rPr>
            </w:pPr>
            <w:r>
              <w:rPr>
                <w:rFonts w:hint="eastAsia" w:ascii="Times New Roman" w:hAnsi="Times New Roman" w:cs="Times New Roman"/>
                <w:b/>
                <w:bCs/>
                <w:kern w:val="0"/>
                <w:sz w:val="21"/>
                <w:szCs w:val="21"/>
                <w:lang w:val="en-US" w:eastAsia="zh-CN"/>
              </w:rPr>
              <w:t>指标说明</w:t>
            </w:r>
          </w:p>
        </w:tc>
        <w:tc>
          <w:tcPr>
            <w:tcW w:w="791" w:type="dxa"/>
            <w:vAlign w:val="center"/>
          </w:tcPr>
          <w:p w14:paraId="2ED36EDB">
            <w:pPr>
              <w:widowControl/>
              <w:adjustRightInd/>
              <w:spacing w:after="0" w:line="240" w:lineRule="auto"/>
              <w:jc w:val="center"/>
              <w:rPr>
                <w:rFonts w:hint="eastAsia" w:ascii="Times New Roman" w:hAnsi="Times New Roman" w:eastAsia="宋体" w:cs="Times New Roman"/>
                <w:b/>
                <w:bCs/>
                <w:kern w:val="0"/>
                <w:sz w:val="21"/>
                <w:szCs w:val="21"/>
                <w:lang w:val="en-US" w:eastAsia="zh-CN"/>
              </w:rPr>
            </w:pPr>
            <w:r>
              <w:rPr>
                <w:rFonts w:hint="eastAsia" w:ascii="Times New Roman" w:hAnsi="Times New Roman" w:cs="Times New Roman"/>
                <w:b/>
                <w:bCs/>
                <w:kern w:val="0"/>
                <w:sz w:val="21"/>
                <w:szCs w:val="21"/>
                <w:lang w:val="en-US" w:eastAsia="zh-CN"/>
              </w:rPr>
              <w:t>分值</w:t>
            </w:r>
          </w:p>
        </w:tc>
      </w:tr>
      <w:tr w14:paraId="7144F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jc w:val="center"/>
        </w:trPr>
        <w:tc>
          <w:tcPr>
            <w:tcW w:w="1132" w:type="dxa"/>
            <w:vMerge w:val="restart"/>
            <w:vAlign w:val="center"/>
          </w:tcPr>
          <w:p w14:paraId="0E6F622D">
            <w:pPr>
              <w:widowControl/>
              <w:adjustRightInd/>
              <w:spacing w:after="0" w:line="240" w:lineRule="auto"/>
              <w:jc w:val="center"/>
              <w:rPr>
                <w:rFonts w:hint="default" w:ascii="Times New Roman" w:hAnsi="Times New Roman" w:cs="Times New Roman"/>
                <w:kern w:val="0"/>
                <w:sz w:val="21"/>
                <w:szCs w:val="21"/>
                <w:lang w:eastAsia="en-US"/>
              </w:rPr>
            </w:pPr>
          </w:p>
        </w:tc>
        <w:tc>
          <w:tcPr>
            <w:tcW w:w="1136" w:type="dxa"/>
            <w:vMerge w:val="restart"/>
            <w:vAlign w:val="center"/>
          </w:tcPr>
          <w:p w14:paraId="74AE959D">
            <w:pPr>
              <w:widowControl/>
              <w:adjustRightInd/>
              <w:spacing w:after="0" w:line="240" w:lineRule="auto"/>
              <w:jc w:val="center"/>
              <w:rPr>
                <w:rFonts w:hint="default" w:ascii="Times New Roman" w:hAnsi="Times New Roman" w:cs="Times New Roman"/>
                <w:kern w:val="0"/>
                <w:sz w:val="21"/>
                <w:szCs w:val="21"/>
                <w:lang w:eastAsia="en-US"/>
              </w:rPr>
            </w:pPr>
          </w:p>
        </w:tc>
        <w:tc>
          <w:tcPr>
            <w:tcW w:w="1186" w:type="dxa"/>
            <w:vAlign w:val="center"/>
          </w:tcPr>
          <w:p w14:paraId="133315DA">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拍卖设施设备</w:t>
            </w:r>
          </w:p>
        </w:tc>
        <w:tc>
          <w:tcPr>
            <w:tcW w:w="1186" w:type="dxa"/>
            <w:vAlign w:val="center"/>
          </w:tcPr>
          <w:p w14:paraId="4E47ED13">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展示场地、网络平台、电子竞价等</w:t>
            </w:r>
          </w:p>
        </w:tc>
        <w:tc>
          <w:tcPr>
            <w:tcW w:w="4064" w:type="dxa"/>
            <w:vAlign w:val="center"/>
          </w:tcPr>
          <w:p w14:paraId="12CFCD5D">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现场查验；具备展示场地、网络拍卖平台、电子竞价系统、音视频录制设备等，设施完善得2分</w:t>
            </w:r>
            <w:r>
              <w:rPr>
                <w:rFonts w:hint="eastAsia" w:ascii="Times New Roman" w:hAnsi="Times New Roman" w:cs="Times New Roman"/>
                <w:b w:val="0"/>
                <w:kern w:val="0"/>
                <w:sz w:val="21"/>
                <w:szCs w:val="21"/>
                <w:lang w:eastAsia="zh-CN"/>
              </w:rPr>
              <w:t>。</w:t>
            </w:r>
          </w:p>
        </w:tc>
        <w:tc>
          <w:tcPr>
            <w:tcW w:w="791" w:type="dxa"/>
            <w:vAlign w:val="center"/>
          </w:tcPr>
          <w:p w14:paraId="0ABCD7AB">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2</w:t>
            </w:r>
          </w:p>
        </w:tc>
      </w:tr>
      <w:tr w14:paraId="0BBAC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2" w:hRule="atLeast"/>
          <w:jc w:val="center"/>
        </w:trPr>
        <w:tc>
          <w:tcPr>
            <w:tcW w:w="1132" w:type="dxa"/>
            <w:vMerge w:val="continue"/>
            <w:vAlign w:val="center"/>
          </w:tcPr>
          <w:p w14:paraId="56590687">
            <w:pPr>
              <w:widowControl/>
              <w:adjustRightInd/>
              <w:spacing w:after="0" w:line="240" w:lineRule="auto"/>
              <w:jc w:val="center"/>
              <w:rPr>
                <w:rFonts w:hint="default" w:ascii="Times New Roman" w:hAnsi="Times New Roman" w:cs="Times New Roman"/>
                <w:kern w:val="0"/>
                <w:sz w:val="21"/>
                <w:szCs w:val="21"/>
                <w:lang w:eastAsia="en-US"/>
              </w:rPr>
            </w:pPr>
          </w:p>
        </w:tc>
        <w:tc>
          <w:tcPr>
            <w:tcW w:w="1136" w:type="dxa"/>
            <w:vMerge w:val="continue"/>
            <w:vAlign w:val="center"/>
          </w:tcPr>
          <w:p w14:paraId="0F7E22A6">
            <w:pPr>
              <w:widowControl/>
              <w:adjustRightInd/>
              <w:spacing w:after="0" w:line="240" w:lineRule="auto"/>
              <w:jc w:val="center"/>
              <w:rPr>
                <w:rFonts w:hint="default" w:ascii="Times New Roman" w:hAnsi="Times New Roman" w:cs="Times New Roman"/>
                <w:kern w:val="0"/>
                <w:sz w:val="21"/>
                <w:szCs w:val="21"/>
                <w:lang w:eastAsia="en-US"/>
              </w:rPr>
            </w:pPr>
          </w:p>
        </w:tc>
        <w:tc>
          <w:tcPr>
            <w:tcW w:w="1186" w:type="dxa"/>
            <w:vAlign w:val="center"/>
          </w:tcPr>
          <w:p w14:paraId="23E14EF2">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档案保管条件</w:t>
            </w:r>
          </w:p>
        </w:tc>
        <w:tc>
          <w:tcPr>
            <w:tcW w:w="1186" w:type="dxa"/>
            <w:vAlign w:val="center"/>
          </w:tcPr>
          <w:p w14:paraId="16E4C19D">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专用档案室，管理信息化</w:t>
            </w:r>
          </w:p>
        </w:tc>
        <w:tc>
          <w:tcPr>
            <w:tcW w:w="4064" w:type="dxa"/>
            <w:vAlign w:val="center"/>
          </w:tcPr>
          <w:p w14:paraId="4DE02FFB">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现场查验；具备专用档案室，防火、防潮、防虫设施齐全，档案管理信息化得1分</w:t>
            </w:r>
            <w:r>
              <w:rPr>
                <w:rFonts w:hint="eastAsia" w:ascii="Times New Roman" w:hAnsi="Times New Roman" w:cs="Times New Roman"/>
                <w:b w:val="0"/>
                <w:kern w:val="0"/>
                <w:sz w:val="21"/>
                <w:szCs w:val="21"/>
                <w:lang w:eastAsia="zh-CN"/>
              </w:rPr>
              <w:t>。</w:t>
            </w:r>
          </w:p>
        </w:tc>
        <w:tc>
          <w:tcPr>
            <w:tcW w:w="791" w:type="dxa"/>
            <w:vAlign w:val="center"/>
          </w:tcPr>
          <w:p w14:paraId="76BCCB2A">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1</w:t>
            </w:r>
          </w:p>
        </w:tc>
      </w:tr>
      <w:tr w14:paraId="33290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4" w:hRule="atLeast"/>
          <w:jc w:val="center"/>
        </w:trPr>
        <w:tc>
          <w:tcPr>
            <w:tcW w:w="1132" w:type="dxa"/>
            <w:vMerge w:val="continue"/>
            <w:vAlign w:val="center"/>
          </w:tcPr>
          <w:p w14:paraId="3939BA96">
            <w:pPr>
              <w:widowControl/>
              <w:adjustRightInd/>
              <w:spacing w:after="0" w:line="240" w:lineRule="auto"/>
              <w:jc w:val="center"/>
              <w:rPr>
                <w:rFonts w:hint="default" w:ascii="Times New Roman" w:hAnsi="Times New Roman" w:cs="Times New Roman"/>
                <w:kern w:val="0"/>
                <w:sz w:val="21"/>
                <w:szCs w:val="21"/>
                <w:lang w:eastAsia="en-US"/>
              </w:rPr>
            </w:pPr>
          </w:p>
        </w:tc>
        <w:tc>
          <w:tcPr>
            <w:tcW w:w="1136" w:type="dxa"/>
            <w:vMerge w:val="restart"/>
            <w:vAlign w:val="center"/>
          </w:tcPr>
          <w:p w14:paraId="4DFB352F">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业务经营能力（10分）</w:t>
            </w:r>
          </w:p>
        </w:tc>
        <w:tc>
          <w:tcPr>
            <w:tcW w:w="1186" w:type="dxa"/>
            <w:vAlign w:val="center"/>
          </w:tcPr>
          <w:p w14:paraId="1B9B7182">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经营年限</w:t>
            </w:r>
          </w:p>
        </w:tc>
        <w:tc>
          <w:tcPr>
            <w:tcW w:w="1186" w:type="dxa"/>
            <w:vAlign w:val="center"/>
          </w:tcPr>
          <w:p w14:paraId="1DD33D0C">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持续经营年限</w:t>
            </w:r>
          </w:p>
        </w:tc>
        <w:tc>
          <w:tcPr>
            <w:tcW w:w="4064" w:type="dxa"/>
            <w:vAlign w:val="center"/>
          </w:tcPr>
          <w:p w14:paraId="50E46C66">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营业执照；经营3—5年得1分，5—10年得1.5分，10年以上得2分</w:t>
            </w:r>
            <w:r>
              <w:rPr>
                <w:rFonts w:hint="eastAsia" w:ascii="Times New Roman" w:hAnsi="Times New Roman" w:cs="Times New Roman"/>
                <w:b w:val="0"/>
                <w:kern w:val="0"/>
                <w:sz w:val="21"/>
                <w:szCs w:val="21"/>
                <w:lang w:eastAsia="zh-CN"/>
              </w:rPr>
              <w:t>。</w:t>
            </w:r>
          </w:p>
        </w:tc>
        <w:tc>
          <w:tcPr>
            <w:tcW w:w="791" w:type="dxa"/>
            <w:vAlign w:val="center"/>
          </w:tcPr>
          <w:p w14:paraId="1B8496B7">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2</w:t>
            </w:r>
          </w:p>
        </w:tc>
      </w:tr>
      <w:tr w14:paraId="60970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atLeast"/>
          <w:jc w:val="center"/>
        </w:trPr>
        <w:tc>
          <w:tcPr>
            <w:tcW w:w="1132" w:type="dxa"/>
            <w:vMerge w:val="continue"/>
            <w:vAlign w:val="center"/>
          </w:tcPr>
          <w:p w14:paraId="46BBBDD6">
            <w:pPr>
              <w:widowControl/>
              <w:adjustRightInd/>
              <w:spacing w:after="0" w:line="240" w:lineRule="auto"/>
              <w:jc w:val="center"/>
              <w:rPr>
                <w:rFonts w:hint="default" w:ascii="Times New Roman" w:hAnsi="Times New Roman" w:cs="Times New Roman"/>
                <w:kern w:val="0"/>
                <w:sz w:val="21"/>
                <w:szCs w:val="21"/>
                <w:lang w:eastAsia="en-US"/>
              </w:rPr>
            </w:pPr>
          </w:p>
        </w:tc>
        <w:tc>
          <w:tcPr>
            <w:tcW w:w="1136" w:type="dxa"/>
            <w:vMerge w:val="continue"/>
            <w:vAlign w:val="center"/>
          </w:tcPr>
          <w:p w14:paraId="2D6A4426">
            <w:pPr>
              <w:widowControl/>
              <w:adjustRightInd/>
              <w:spacing w:after="0" w:line="240" w:lineRule="auto"/>
              <w:jc w:val="center"/>
              <w:rPr>
                <w:rFonts w:hint="default" w:ascii="Times New Roman" w:hAnsi="Times New Roman" w:cs="Times New Roman"/>
                <w:kern w:val="0"/>
                <w:sz w:val="21"/>
                <w:szCs w:val="21"/>
                <w:lang w:eastAsia="en-US"/>
              </w:rPr>
            </w:pPr>
          </w:p>
        </w:tc>
        <w:tc>
          <w:tcPr>
            <w:tcW w:w="1186" w:type="dxa"/>
            <w:vAlign w:val="center"/>
          </w:tcPr>
          <w:p w14:paraId="4848F6EB">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拍卖业绩</w:t>
            </w:r>
          </w:p>
        </w:tc>
        <w:tc>
          <w:tcPr>
            <w:tcW w:w="1186" w:type="dxa"/>
            <w:vAlign w:val="center"/>
          </w:tcPr>
          <w:p w14:paraId="50987F43">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年均成交额及场次</w:t>
            </w:r>
          </w:p>
        </w:tc>
        <w:tc>
          <w:tcPr>
            <w:tcW w:w="4064" w:type="dxa"/>
            <w:vAlign w:val="center"/>
          </w:tcPr>
          <w:p w14:paraId="444C9CCB">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成交确认书、审计报告；近三年年均拍卖成交额及场次达行业平均水平得2分，超过平均水平酌情加分，满分4分</w:t>
            </w:r>
            <w:r>
              <w:rPr>
                <w:rFonts w:hint="eastAsia" w:ascii="Times New Roman" w:hAnsi="Times New Roman" w:cs="Times New Roman"/>
                <w:b w:val="0"/>
                <w:kern w:val="0"/>
                <w:sz w:val="21"/>
                <w:szCs w:val="21"/>
                <w:lang w:eastAsia="zh-CN"/>
              </w:rPr>
              <w:t>。</w:t>
            </w:r>
          </w:p>
        </w:tc>
        <w:tc>
          <w:tcPr>
            <w:tcW w:w="791" w:type="dxa"/>
            <w:vAlign w:val="center"/>
          </w:tcPr>
          <w:p w14:paraId="52C49B34">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4</w:t>
            </w:r>
          </w:p>
        </w:tc>
      </w:tr>
      <w:tr w14:paraId="6BA1A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7" w:hRule="atLeast"/>
          <w:jc w:val="center"/>
        </w:trPr>
        <w:tc>
          <w:tcPr>
            <w:tcW w:w="1132" w:type="dxa"/>
            <w:vMerge w:val="continue"/>
            <w:vAlign w:val="center"/>
          </w:tcPr>
          <w:p w14:paraId="5A2F6518">
            <w:pPr>
              <w:widowControl/>
              <w:adjustRightInd/>
              <w:spacing w:after="0" w:line="240" w:lineRule="auto"/>
              <w:jc w:val="center"/>
              <w:rPr>
                <w:rFonts w:hint="default" w:ascii="Times New Roman" w:hAnsi="Times New Roman" w:cs="Times New Roman"/>
                <w:kern w:val="0"/>
                <w:sz w:val="21"/>
                <w:szCs w:val="21"/>
                <w:lang w:eastAsia="en-US"/>
              </w:rPr>
            </w:pPr>
          </w:p>
        </w:tc>
        <w:tc>
          <w:tcPr>
            <w:tcW w:w="1136" w:type="dxa"/>
            <w:vMerge w:val="continue"/>
            <w:vAlign w:val="center"/>
          </w:tcPr>
          <w:p w14:paraId="122A1E6D">
            <w:pPr>
              <w:widowControl/>
              <w:adjustRightInd/>
              <w:spacing w:after="0" w:line="240" w:lineRule="auto"/>
              <w:jc w:val="center"/>
              <w:rPr>
                <w:rFonts w:hint="default" w:ascii="Times New Roman" w:hAnsi="Times New Roman" w:cs="Times New Roman"/>
                <w:kern w:val="0"/>
                <w:sz w:val="21"/>
                <w:szCs w:val="21"/>
                <w:lang w:eastAsia="en-US"/>
              </w:rPr>
            </w:pPr>
          </w:p>
        </w:tc>
        <w:tc>
          <w:tcPr>
            <w:tcW w:w="1186" w:type="dxa"/>
            <w:vAlign w:val="center"/>
          </w:tcPr>
          <w:p w14:paraId="4F365888">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业务多样性</w:t>
            </w:r>
          </w:p>
        </w:tc>
        <w:tc>
          <w:tcPr>
            <w:tcW w:w="1186" w:type="dxa"/>
            <w:vAlign w:val="center"/>
          </w:tcPr>
          <w:p w14:paraId="69A31521">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标的类型多样性</w:t>
            </w:r>
          </w:p>
        </w:tc>
        <w:tc>
          <w:tcPr>
            <w:tcW w:w="4064" w:type="dxa"/>
            <w:vAlign w:val="center"/>
          </w:tcPr>
          <w:p w14:paraId="07FEEEA0">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业务记录；涉及艺术品、不动产、机动车、无形资产、农产品等3类以上标的得2分，类型单一酌情扣分</w:t>
            </w:r>
            <w:r>
              <w:rPr>
                <w:rFonts w:hint="eastAsia" w:ascii="Times New Roman" w:hAnsi="Times New Roman" w:cs="Times New Roman"/>
                <w:b w:val="0"/>
                <w:kern w:val="0"/>
                <w:sz w:val="21"/>
                <w:szCs w:val="21"/>
                <w:lang w:eastAsia="zh-CN"/>
              </w:rPr>
              <w:t>。</w:t>
            </w:r>
          </w:p>
        </w:tc>
        <w:tc>
          <w:tcPr>
            <w:tcW w:w="791" w:type="dxa"/>
            <w:vAlign w:val="center"/>
          </w:tcPr>
          <w:p w14:paraId="21ED2247">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2</w:t>
            </w:r>
          </w:p>
        </w:tc>
      </w:tr>
      <w:tr w14:paraId="6629F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jc w:val="center"/>
        </w:trPr>
        <w:tc>
          <w:tcPr>
            <w:tcW w:w="1132" w:type="dxa"/>
            <w:vMerge w:val="continue"/>
            <w:vAlign w:val="center"/>
          </w:tcPr>
          <w:p w14:paraId="58F94BE8">
            <w:pPr>
              <w:widowControl/>
              <w:adjustRightInd/>
              <w:spacing w:after="0" w:line="240" w:lineRule="auto"/>
              <w:jc w:val="center"/>
              <w:rPr>
                <w:rFonts w:hint="default" w:ascii="Times New Roman" w:hAnsi="Times New Roman" w:cs="Times New Roman"/>
                <w:kern w:val="0"/>
                <w:sz w:val="21"/>
                <w:szCs w:val="21"/>
                <w:lang w:eastAsia="en-US"/>
              </w:rPr>
            </w:pPr>
          </w:p>
        </w:tc>
        <w:tc>
          <w:tcPr>
            <w:tcW w:w="1136" w:type="dxa"/>
            <w:vMerge w:val="continue"/>
            <w:vAlign w:val="center"/>
          </w:tcPr>
          <w:p w14:paraId="59AFE803">
            <w:pPr>
              <w:widowControl/>
              <w:adjustRightInd/>
              <w:spacing w:after="0" w:line="240" w:lineRule="auto"/>
              <w:jc w:val="center"/>
              <w:rPr>
                <w:rFonts w:hint="default" w:ascii="Times New Roman" w:hAnsi="Times New Roman" w:cs="Times New Roman"/>
                <w:kern w:val="0"/>
                <w:sz w:val="21"/>
                <w:szCs w:val="21"/>
                <w:lang w:eastAsia="en-US"/>
              </w:rPr>
            </w:pPr>
          </w:p>
        </w:tc>
        <w:tc>
          <w:tcPr>
            <w:tcW w:w="1186" w:type="dxa"/>
            <w:vAlign w:val="center"/>
          </w:tcPr>
          <w:p w14:paraId="7002897F">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市场占有率</w:t>
            </w:r>
          </w:p>
        </w:tc>
        <w:tc>
          <w:tcPr>
            <w:tcW w:w="1186" w:type="dxa"/>
            <w:vAlign w:val="center"/>
          </w:tcPr>
          <w:p w14:paraId="354C622D">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区域市场份额及影响力</w:t>
            </w:r>
          </w:p>
        </w:tc>
        <w:tc>
          <w:tcPr>
            <w:tcW w:w="4064" w:type="dxa"/>
            <w:vAlign w:val="center"/>
          </w:tcPr>
          <w:p w14:paraId="3ABA031F">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行业统计；区域拍卖市场影响力强得2分，一般得1分</w:t>
            </w:r>
            <w:r>
              <w:rPr>
                <w:rFonts w:hint="eastAsia" w:ascii="Times New Roman" w:hAnsi="Times New Roman" w:cs="Times New Roman"/>
                <w:b w:val="0"/>
                <w:kern w:val="0"/>
                <w:sz w:val="21"/>
                <w:szCs w:val="21"/>
                <w:lang w:eastAsia="zh-CN"/>
              </w:rPr>
              <w:t>。</w:t>
            </w:r>
          </w:p>
        </w:tc>
        <w:tc>
          <w:tcPr>
            <w:tcW w:w="791" w:type="dxa"/>
            <w:vAlign w:val="center"/>
          </w:tcPr>
          <w:p w14:paraId="3974B63D">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2</w:t>
            </w:r>
          </w:p>
        </w:tc>
      </w:tr>
      <w:tr w14:paraId="07BB0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132" w:type="dxa"/>
            <w:vMerge w:val="continue"/>
            <w:vAlign w:val="center"/>
          </w:tcPr>
          <w:p w14:paraId="1A086539">
            <w:pPr>
              <w:widowControl/>
              <w:adjustRightInd/>
              <w:spacing w:after="0" w:line="240" w:lineRule="auto"/>
              <w:jc w:val="center"/>
              <w:rPr>
                <w:rFonts w:hint="default" w:ascii="Times New Roman" w:hAnsi="Times New Roman" w:cs="Times New Roman"/>
                <w:kern w:val="0"/>
                <w:sz w:val="21"/>
                <w:szCs w:val="21"/>
                <w:lang w:eastAsia="en-US"/>
              </w:rPr>
            </w:pPr>
          </w:p>
        </w:tc>
        <w:tc>
          <w:tcPr>
            <w:tcW w:w="1136" w:type="dxa"/>
            <w:vMerge w:val="restart"/>
            <w:vAlign w:val="center"/>
          </w:tcPr>
          <w:p w14:paraId="7AED3992">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财务管理能力（5分）</w:t>
            </w:r>
          </w:p>
        </w:tc>
        <w:tc>
          <w:tcPr>
            <w:tcW w:w="1186" w:type="dxa"/>
            <w:vAlign w:val="center"/>
          </w:tcPr>
          <w:p w14:paraId="67BC76C8">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资产负债率</w:t>
            </w:r>
          </w:p>
        </w:tc>
        <w:tc>
          <w:tcPr>
            <w:tcW w:w="1186" w:type="dxa"/>
            <w:vAlign w:val="center"/>
          </w:tcPr>
          <w:p w14:paraId="7D52A21D">
            <w:pPr>
              <w:widowControl/>
              <w:adjustRightInd/>
              <w:spacing w:after="0" w:line="240" w:lineRule="auto"/>
              <w:jc w:val="both"/>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处于合理</w:t>
            </w:r>
            <w:r>
              <w:rPr>
                <w:rFonts w:hint="eastAsia" w:ascii="Times New Roman" w:hAnsi="Times New Roman" w:cs="Times New Roman"/>
                <w:b w:val="0"/>
                <w:kern w:val="0"/>
                <w:sz w:val="21"/>
                <w:szCs w:val="21"/>
                <w:lang w:val="en-US" w:eastAsia="zh-CN"/>
              </w:rPr>
              <w:t>区间</w:t>
            </w:r>
            <w:r>
              <w:rPr>
                <w:rFonts w:hint="default" w:ascii="Times New Roman" w:hAnsi="Times New Roman" w:eastAsia="宋体" w:cs="Times New Roman"/>
                <w:b w:val="0"/>
                <w:kern w:val="0"/>
                <w:sz w:val="21"/>
                <w:szCs w:val="21"/>
                <w:lang w:eastAsia="en-US"/>
              </w:rPr>
              <w:t>（40%—70%）</w:t>
            </w:r>
          </w:p>
        </w:tc>
        <w:tc>
          <w:tcPr>
            <w:tcW w:w="4064" w:type="dxa"/>
            <w:vAlign w:val="center"/>
          </w:tcPr>
          <w:p w14:paraId="786B6661">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审计报告；处于合理区间（40%—70%）得1分，偏离酌情扣分</w:t>
            </w:r>
            <w:r>
              <w:rPr>
                <w:rFonts w:hint="eastAsia" w:ascii="Times New Roman" w:hAnsi="Times New Roman" w:cs="Times New Roman"/>
                <w:b w:val="0"/>
                <w:kern w:val="0"/>
                <w:sz w:val="21"/>
                <w:szCs w:val="21"/>
                <w:lang w:eastAsia="zh-CN"/>
              </w:rPr>
              <w:t>。</w:t>
            </w:r>
          </w:p>
        </w:tc>
        <w:tc>
          <w:tcPr>
            <w:tcW w:w="791" w:type="dxa"/>
            <w:vAlign w:val="center"/>
          </w:tcPr>
          <w:p w14:paraId="44252F85">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1</w:t>
            </w:r>
          </w:p>
        </w:tc>
      </w:tr>
      <w:tr w14:paraId="174C8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jc w:val="center"/>
        </w:trPr>
        <w:tc>
          <w:tcPr>
            <w:tcW w:w="1132" w:type="dxa"/>
            <w:vMerge w:val="continue"/>
            <w:vAlign w:val="center"/>
          </w:tcPr>
          <w:p w14:paraId="677E3588">
            <w:pPr>
              <w:widowControl/>
              <w:adjustRightInd/>
              <w:spacing w:after="0" w:line="240" w:lineRule="auto"/>
              <w:jc w:val="center"/>
              <w:rPr>
                <w:rFonts w:hint="default" w:ascii="Times New Roman" w:hAnsi="Times New Roman" w:cs="Times New Roman"/>
                <w:kern w:val="0"/>
                <w:sz w:val="21"/>
                <w:szCs w:val="21"/>
                <w:lang w:eastAsia="en-US"/>
              </w:rPr>
            </w:pPr>
          </w:p>
        </w:tc>
        <w:tc>
          <w:tcPr>
            <w:tcW w:w="1136" w:type="dxa"/>
            <w:vMerge w:val="continue"/>
            <w:vAlign w:val="center"/>
          </w:tcPr>
          <w:p w14:paraId="1C912721">
            <w:pPr>
              <w:widowControl/>
              <w:adjustRightInd/>
              <w:spacing w:after="0" w:line="240" w:lineRule="auto"/>
              <w:jc w:val="center"/>
              <w:rPr>
                <w:rFonts w:hint="default" w:ascii="Times New Roman" w:hAnsi="Times New Roman" w:cs="Times New Roman"/>
                <w:kern w:val="0"/>
                <w:sz w:val="21"/>
                <w:szCs w:val="21"/>
                <w:lang w:eastAsia="en-US"/>
              </w:rPr>
            </w:pPr>
          </w:p>
        </w:tc>
        <w:tc>
          <w:tcPr>
            <w:tcW w:w="1186" w:type="dxa"/>
            <w:vAlign w:val="center"/>
          </w:tcPr>
          <w:p w14:paraId="75A2B454">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盈利能力</w:t>
            </w:r>
          </w:p>
        </w:tc>
        <w:tc>
          <w:tcPr>
            <w:tcW w:w="1186" w:type="dxa"/>
            <w:vAlign w:val="center"/>
          </w:tcPr>
          <w:p w14:paraId="0501794D">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近三年盈利状况</w:t>
            </w:r>
          </w:p>
        </w:tc>
        <w:tc>
          <w:tcPr>
            <w:tcW w:w="4064" w:type="dxa"/>
            <w:vAlign w:val="center"/>
          </w:tcPr>
          <w:p w14:paraId="29C474FA">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审计报告；近三年连续盈利得2分，有亏损酌情扣分</w:t>
            </w:r>
            <w:r>
              <w:rPr>
                <w:rFonts w:hint="eastAsia" w:ascii="Times New Roman" w:hAnsi="Times New Roman" w:cs="Times New Roman"/>
                <w:b w:val="0"/>
                <w:kern w:val="0"/>
                <w:sz w:val="21"/>
                <w:szCs w:val="21"/>
                <w:lang w:eastAsia="zh-CN"/>
              </w:rPr>
              <w:t>。</w:t>
            </w:r>
          </w:p>
        </w:tc>
        <w:tc>
          <w:tcPr>
            <w:tcW w:w="791" w:type="dxa"/>
            <w:vAlign w:val="center"/>
          </w:tcPr>
          <w:p w14:paraId="0D542277">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2</w:t>
            </w:r>
          </w:p>
        </w:tc>
      </w:tr>
      <w:tr w14:paraId="688CC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1132" w:type="dxa"/>
            <w:vMerge w:val="continue"/>
            <w:vAlign w:val="center"/>
          </w:tcPr>
          <w:p w14:paraId="0A4E439F">
            <w:pPr>
              <w:widowControl/>
              <w:adjustRightInd/>
              <w:spacing w:after="0" w:line="240" w:lineRule="auto"/>
              <w:jc w:val="center"/>
              <w:rPr>
                <w:rFonts w:hint="default" w:ascii="Times New Roman" w:hAnsi="Times New Roman" w:cs="Times New Roman"/>
                <w:kern w:val="0"/>
                <w:sz w:val="21"/>
                <w:szCs w:val="21"/>
                <w:lang w:eastAsia="en-US"/>
              </w:rPr>
            </w:pPr>
          </w:p>
        </w:tc>
        <w:tc>
          <w:tcPr>
            <w:tcW w:w="1136" w:type="dxa"/>
            <w:vMerge w:val="continue"/>
            <w:vAlign w:val="center"/>
          </w:tcPr>
          <w:p w14:paraId="119ED569">
            <w:pPr>
              <w:widowControl/>
              <w:adjustRightInd/>
              <w:spacing w:after="0" w:line="240" w:lineRule="auto"/>
              <w:jc w:val="center"/>
              <w:rPr>
                <w:rFonts w:hint="default" w:ascii="Times New Roman" w:hAnsi="Times New Roman" w:cs="Times New Roman"/>
                <w:kern w:val="0"/>
                <w:sz w:val="21"/>
                <w:szCs w:val="21"/>
                <w:lang w:eastAsia="en-US"/>
              </w:rPr>
            </w:pPr>
          </w:p>
        </w:tc>
        <w:tc>
          <w:tcPr>
            <w:tcW w:w="1186" w:type="dxa"/>
            <w:vAlign w:val="center"/>
          </w:tcPr>
          <w:p w14:paraId="6B74BB45">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资金结算规范</w:t>
            </w:r>
          </w:p>
        </w:tc>
        <w:tc>
          <w:tcPr>
            <w:tcW w:w="1186" w:type="dxa"/>
            <w:vAlign w:val="center"/>
          </w:tcPr>
          <w:p w14:paraId="6125077D">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结算及时，无挪用拖欠</w:t>
            </w:r>
          </w:p>
        </w:tc>
        <w:tc>
          <w:tcPr>
            <w:tcW w:w="4064" w:type="dxa"/>
            <w:vAlign w:val="center"/>
          </w:tcPr>
          <w:p w14:paraId="6C6207E8">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银行流水；拍卖款、佣金结算及时规范，无挪用、拖欠记录得2分，有拖欠不得分</w:t>
            </w:r>
            <w:r>
              <w:rPr>
                <w:rFonts w:hint="eastAsia" w:ascii="Times New Roman" w:hAnsi="Times New Roman" w:cs="Times New Roman"/>
                <w:b w:val="0"/>
                <w:kern w:val="0"/>
                <w:sz w:val="21"/>
                <w:szCs w:val="21"/>
                <w:lang w:eastAsia="zh-CN"/>
              </w:rPr>
              <w:t>。</w:t>
            </w:r>
          </w:p>
        </w:tc>
        <w:tc>
          <w:tcPr>
            <w:tcW w:w="791" w:type="dxa"/>
            <w:vAlign w:val="center"/>
          </w:tcPr>
          <w:p w14:paraId="68906EA8">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2</w:t>
            </w:r>
          </w:p>
        </w:tc>
      </w:tr>
      <w:tr w14:paraId="04920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jc w:val="center"/>
        </w:trPr>
        <w:tc>
          <w:tcPr>
            <w:tcW w:w="1132" w:type="dxa"/>
            <w:vMerge w:val="continue"/>
            <w:vAlign w:val="center"/>
          </w:tcPr>
          <w:p w14:paraId="7A1507A4">
            <w:pPr>
              <w:widowControl/>
              <w:adjustRightInd/>
              <w:spacing w:after="0" w:line="240" w:lineRule="auto"/>
              <w:jc w:val="center"/>
              <w:rPr>
                <w:rFonts w:hint="default" w:ascii="Times New Roman" w:hAnsi="Times New Roman" w:cs="Times New Roman"/>
                <w:kern w:val="0"/>
                <w:sz w:val="21"/>
                <w:szCs w:val="21"/>
                <w:lang w:eastAsia="en-US"/>
              </w:rPr>
            </w:pPr>
          </w:p>
        </w:tc>
        <w:tc>
          <w:tcPr>
            <w:tcW w:w="1136" w:type="dxa"/>
            <w:vMerge w:val="restart"/>
            <w:vAlign w:val="center"/>
          </w:tcPr>
          <w:p w14:paraId="78FB67A8">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数字化经营能力（2分）</w:t>
            </w:r>
          </w:p>
        </w:tc>
        <w:tc>
          <w:tcPr>
            <w:tcW w:w="1186" w:type="dxa"/>
            <w:vAlign w:val="center"/>
          </w:tcPr>
          <w:p w14:paraId="330CA5DE">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网络拍卖平台</w:t>
            </w:r>
          </w:p>
        </w:tc>
        <w:tc>
          <w:tcPr>
            <w:tcW w:w="1186" w:type="dxa"/>
            <w:vAlign w:val="center"/>
          </w:tcPr>
          <w:p w14:paraId="52535C1A">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拥有运营良好的网络平台</w:t>
            </w:r>
          </w:p>
        </w:tc>
        <w:tc>
          <w:tcPr>
            <w:tcW w:w="4064" w:type="dxa"/>
            <w:vAlign w:val="center"/>
          </w:tcPr>
          <w:p w14:paraId="1C43363A">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平台截图；拥有自主或第三方网络拍卖平台，运营良好得1分</w:t>
            </w:r>
            <w:r>
              <w:rPr>
                <w:rFonts w:hint="eastAsia" w:ascii="Times New Roman" w:hAnsi="Times New Roman" w:cs="Times New Roman"/>
                <w:b w:val="0"/>
                <w:kern w:val="0"/>
                <w:sz w:val="21"/>
                <w:szCs w:val="21"/>
                <w:lang w:eastAsia="zh-CN"/>
              </w:rPr>
              <w:t>。</w:t>
            </w:r>
          </w:p>
        </w:tc>
        <w:tc>
          <w:tcPr>
            <w:tcW w:w="791" w:type="dxa"/>
            <w:vAlign w:val="center"/>
          </w:tcPr>
          <w:p w14:paraId="4F1BF69D">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1</w:t>
            </w:r>
          </w:p>
        </w:tc>
      </w:tr>
      <w:tr w14:paraId="2D35C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7" w:hRule="atLeast"/>
          <w:jc w:val="center"/>
        </w:trPr>
        <w:tc>
          <w:tcPr>
            <w:tcW w:w="1132" w:type="dxa"/>
            <w:vMerge w:val="continue"/>
            <w:vAlign w:val="center"/>
          </w:tcPr>
          <w:p w14:paraId="59AE18CF">
            <w:pPr>
              <w:widowControl/>
              <w:adjustRightInd/>
              <w:spacing w:after="0" w:line="240" w:lineRule="auto"/>
              <w:jc w:val="center"/>
              <w:rPr>
                <w:rFonts w:hint="default" w:ascii="Times New Roman" w:hAnsi="Times New Roman" w:cs="Times New Roman"/>
                <w:kern w:val="0"/>
                <w:sz w:val="21"/>
                <w:szCs w:val="21"/>
                <w:lang w:eastAsia="en-US"/>
              </w:rPr>
            </w:pPr>
          </w:p>
        </w:tc>
        <w:tc>
          <w:tcPr>
            <w:tcW w:w="1136" w:type="dxa"/>
            <w:vMerge w:val="continue"/>
            <w:vAlign w:val="center"/>
          </w:tcPr>
          <w:p w14:paraId="65A1056D">
            <w:pPr>
              <w:widowControl/>
              <w:adjustRightInd/>
              <w:spacing w:after="0" w:line="240" w:lineRule="auto"/>
              <w:jc w:val="center"/>
              <w:rPr>
                <w:rFonts w:hint="default" w:ascii="Times New Roman" w:hAnsi="Times New Roman" w:cs="Times New Roman"/>
                <w:kern w:val="0"/>
                <w:sz w:val="21"/>
                <w:szCs w:val="21"/>
                <w:lang w:eastAsia="en-US"/>
              </w:rPr>
            </w:pPr>
          </w:p>
        </w:tc>
        <w:tc>
          <w:tcPr>
            <w:tcW w:w="1186" w:type="dxa"/>
            <w:vAlign w:val="center"/>
          </w:tcPr>
          <w:p w14:paraId="5BE6AF63">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数据安全管理</w:t>
            </w:r>
          </w:p>
        </w:tc>
        <w:tc>
          <w:tcPr>
            <w:tcW w:w="1186" w:type="dxa"/>
            <w:vAlign w:val="center"/>
          </w:tcPr>
          <w:p w14:paraId="328A42C6">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建立数据安全管理制度</w:t>
            </w:r>
          </w:p>
        </w:tc>
        <w:tc>
          <w:tcPr>
            <w:tcW w:w="4064" w:type="dxa"/>
            <w:vAlign w:val="center"/>
          </w:tcPr>
          <w:p w14:paraId="2B76E767">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制度文件；建立数据安全管理制度，采用加密、备份等技术措施保护客户信息和交易数据得1分</w:t>
            </w:r>
            <w:r>
              <w:rPr>
                <w:rFonts w:hint="eastAsia" w:ascii="Times New Roman" w:hAnsi="Times New Roman" w:cs="Times New Roman"/>
                <w:b w:val="0"/>
                <w:kern w:val="0"/>
                <w:sz w:val="21"/>
                <w:szCs w:val="21"/>
                <w:lang w:eastAsia="zh-CN"/>
              </w:rPr>
              <w:t>。</w:t>
            </w:r>
          </w:p>
        </w:tc>
        <w:tc>
          <w:tcPr>
            <w:tcW w:w="791" w:type="dxa"/>
            <w:vAlign w:val="center"/>
          </w:tcPr>
          <w:p w14:paraId="5C8A9CB1">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1</w:t>
            </w:r>
          </w:p>
        </w:tc>
      </w:tr>
    </w:tbl>
    <w:p w14:paraId="6D41ED8C">
      <w:pPr>
        <w:pStyle w:val="88"/>
        <w:numPr>
          <w:ilvl w:val="1"/>
          <w:numId w:val="0"/>
        </w:numPr>
        <w:bidi w:val="0"/>
        <w:ind w:leftChars="0"/>
        <w:jc w:val="center"/>
        <w:rPr>
          <w:rFonts w:hint="eastAsia"/>
        </w:rPr>
      </w:pPr>
      <w:r>
        <w:rPr>
          <w:rFonts w:hint="eastAsia"/>
          <w:lang w:val="en-US" w:eastAsia="zh-CN"/>
        </w:rPr>
        <w:t xml:space="preserve">表A.1  </w:t>
      </w:r>
      <w:r>
        <w:rPr>
          <w:rFonts w:hint="eastAsia"/>
        </w:rPr>
        <w:t>拍卖企业信用评价表（续）</w:t>
      </w:r>
    </w:p>
    <w:tbl>
      <w:tblPr>
        <w:tblStyle w:val="27"/>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6"/>
        <w:gridCol w:w="1145"/>
        <w:gridCol w:w="1173"/>
        <w:gridCol w:w="1186"/>
        <w:gridCol w:w="4469"/>
        <w:gridCol w:w="763"/>
      </w:tblGrid>
      <w:tr w14:paraId="03F5E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1206" w:type="dxa"/>
            <w:vAlign w:val="center"/>
          </w:tcPr>
          <w:p w14:paraId="1993528F">
            <w:pPr>
              <w:widowControl/>
              <w:adjustRightInd/>
              <w:spacing w:after="0" w:line="240" w:lineRule="auto"/>
              <w:jc w:val="center"/>
              <w:rPr>
                <w:rFonts w:hint="eastAsia" w:ascii="Times New Roman" w:hAnsi="Times New Roman" w:eastAsia="宋体" w:cs="Times New Roman"/>
                <w:b/>
                <w:bCs/>
                <w:kern w:val="0"/>
                <w:sz w:val="21"/>
                <w:szCs w:val="21"/>
                <w:lang w:val="en-US" w:eastAsia="zh-CN"/>
              </w:rPr>
            </w:pPr>
            <w:r>
              <w:rPr>
                <w:rFonts w:hint="eastAsia" w:ascii="Times New Roman" w:hAnsi="Times New Roman" w:cs="Times New Roman"/>
                <w:b/>
                <w:bCs/>
                <w:kern w:val="0"/>
                <w:sz w:val="21"/>
                <w:szCs w:val="21"/>
                <w:lang w:val="en-US" w:eastAsia="zh-CN"/>
              </w:rPr>
              <w:t>一级指标</w:t>
            </w:r>
          </w:p>
        </w:tc>
        <w:tc>
          <w:tcPr>
            <w:tcW w:w="1145" w:type="dxa"/>
            <w:vAlign w:val="center"/>
          </w:tcPr>
          <w:p w14:paraId="65C023F5">
            <w:pPr>
              <w:widowControl/>
              <w:adjustRightInd/>
              <w:spacing w:after="0" w:line="240" w:lineRule="auto"/>
              <w:jc w:val="center"/>
              <w:rPr>
                <w:rFonts w:hint="eastAsia" w:ascii="Times New Roman" w:hAnsi="Times New Roman" w:eastAsia="宋体" w:cs="Times New Roman"/>
                <w:b/>
                <w:bCs/>
                <w:kern w:val="0"/>
                <w:sz w:val="21"/>
                <w:szCs w:val="21"/>
                <w:lang w:val="en-US" w:eastAsia="zh-CN"/>
              </w:rPr>
            </w:pPr>
            <w:r>
              <w:rPr>
                <w:rFonts w:hint="eastAsia" w:ascii="Times New Roman" w:hAnsi="Times New Roman" w:cs="Times New Roman"/>
                <w:b/>
                <w:bCs/>
                <w:kern w:val="0"/>
                <w:sz w:val="21"/>
                <w:szCs w:val="21"/>
                <w:lang w:val="en-US" w:eastAsia="zh-CN"/>
              </w:rPr>
              <w:t>二级指标</w:t>
            </w:r>
          </w:p>
        </w:tc>
        <w:tc>
          <w:tcPr>
            <w:tcW w:w="1173" w:type="dxa"/>
            <w:vAlign w:val="center"/>
          </w:tcPr>
          <w:p w14:paraId="326AA75F">
            <w:pPr>
              <w:widowControl/>
              <w:adjustRightInd/>
              <w:spacing w:after="0" w:line="240" w:lineRule="auto"/>
              <w:jc w:val="center"/>
              <w:rPr>
                <w:rFonts w:hint="eastAsia" w:ascii="Times New Roman" w:hAnsi="Times New Roman" w:eastAsia="宋体" w:cs="Times New Roman"/>
                <w:b/>
                <w:bCs/>
                <w:kern w:val="0"/>
                <w:sz w:val="21"/>
                <w:szCs w:val="21"/>
                <w:lang w:val="en-US" w:eastAsia="zh-CN"/>
              </w:rPr>
            </w:pPr>
            <w:r>
              <w:rPr>
                <w:rFonts w:hint="eastAsia" w:ascii="Times New Roman" w:hAnsi="Times New Roman" w:cs="Times New Roman"/>
                <w:b/>
                <w:bCs/>
                <w:kern w:val="0"/>
                <w:sz w:val="21"/>
                <w:szCs w:val="21"/>
                <w:lang w:val="en-US" w:eastAsia="zh-CN"/>
              </w:rPr>
              <w:t>三级指标</w:t>
            </w:r>
          </w:p>
        </w:tc>
        <w:tc>
          <w:tcPr>
            <w:tcW w:w="1186" w:type="dxa"/>
            <w:vAlign w:val="center"/>
          </w:tcPr>
          <w:p w14:paraId="442D98E0">
            <w:pPr>
              <w:widowControl/>
              <w:adjustRightInd/>
              <w:spacing w:after="0" w:line="240" w:lineRule="auto"/>
              <w:jc w:val="center"/>
              <w:rPr>
                <w:rFonts w:hint="eastAsia" w:ascii="Times New Roman" w:hAnsi="Times New Roman" w:eastAsia="宋体" w:cs="Times New Roman"/>
                <w:b/>
                <w:bCs/>
                <w:kern w:val="0"/>
                <w:sz w:val="21"/>
                <w:szCs w:val="21"/>
                <w:lang w:val="en-US" w:eastAsia="zh-CN"/>
              </w:rPr>
            </w:pPr>
            <w:r>
              <w:rPr>
                <w:rFonts w:hint="eastAsia" w:ascii="Times New Roman" w:hAnsi="Times New Roman" w:cs="Times New Roman"/>
                <w:b/>
                <w:bCs/>
                <w:kern w:val="0"/>
                <w:sz w:val="21"/>
                <w:szCs w:val="21"/>
                <w:lang w:val="en-US" w:eastAsia="zh-CN"/>
              </w:rPr>
              <w:t>四级指标</w:t>
            </w:r>
          </w:p>
        </w:tc>
        <w:tc>
          <w:tcPr>
            <w:tcW w:w="4469" w:type="dxa"/>
            <w:vAlign w:val="center"/>
          </w:tcPr>
          <w:p w14:paraId="038B448A">
            <w:pPr>
              <w:widowControl/>
              <w:adjustRightInd/>
              <w:spacing w:after="0" w:line="240" w:lineRule="auto"/>
              <w:jc w:val="center"/>
              <w:rPr>
                <w:rFonts w:hint="default" w:ascii="Times New Roman" w:hAnsi="Times New Roman" w:eastAsia="宋体" w:cs="Times New Roman"/>
                <w:b/>
                <w:bCs/>
                <w:kern w:val="0"/>
                <w:sz w:val="21"/>
                <w:szCs w:val="21"/>
                <w:lang w:val="en-US" w:eastAsia="zh-CN"/>
              </w:rPr>
            </w:pPr>
            <w:r>
              <w:rPr>
                <w:rFonts w:hint="eastAsia" w:ascii="Times New Roman" w:hAnsi="Times New Roman" w:cs="Times New Roman"/>
                <w:b/>
                <w:bCs/>
                <w:kern w:val="0"/>
                <w:sz w:val="21"/>
                <w:szCs w:val="21"/>
                <w:lang w:val="en-US" w:eastAsia="zh-CN"/>
              </w:rPr>
              <w:t>指标说明</w:t>
            </w:r>
          </w:p>
        </w:tc>
        <w:tc>
          <w:tcPr>
            <w:tcW w:w="763" w:type="dxa"/>
            <w:vAlign w:val="center"/>
          </w:tcPr>
          <w:p w14:paraId="7EE971E9">
            <w:pPr>
              <w:widowControl/>
              <w:adjustRightInd/>
              <w:spacing w:after="0" w:line="240" w:lineRule="auto"/>
              <w:jc w:val="center"/>
              <w:rPr>
                <w:rFonts w:hint="eastAsia" w:ascii="Times New Roman" w:hAnsi="Times New Roman" w:eastAsia="宋体" w:cs="Times New Roman"/>
                <w:b/>
                <w:bCs/>
                <w:kern w:val="0"/>
                <w:sz w:val="21"/>
                <w:szCs w:val="21"/>
                <w:lang w:val="en-US" w:eastAsia="zh-CN"/>
              </w:rPr>
            </w:pPr>
            <w:r>
              <w:rPr>
                <w:rFonts w:hint="eastAsia" w:ascii="Times New Roman" w:hAnsi="Times New Roman" w:cs="Times New Roman"/>
                <w:b/>
                <w:bCs/>
                <w:kern w:val="0"/>
                <w:sz w:val="21"/>
                <w:szCs w:val="21"/>
                <w:lang w:val="en-US" w:eastAsia="zh-CN"/>
              </w:rPr>
              <w:t>分值</w:t>
            </w:r>
          </w:p>
        </w:tc>
      </w:tr>
      <w:tr w14:paraId="7046D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1206" w:type="dxa"/>
            <w:vMerge w:val="restart"/>
            <w:vAlign w:val="center"/>
          </w:tcPr>
          <w:p w14:paraId="0D1F247B">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履约行为（25分）</w:t>
            </w:r>
          </w:p>
        </w:tc>
        <w:tc>
          <w:tcPr>
            <w:tcW w:w="1145" w:type="dxa"/>
            <w:vMerge w:val="restart"/>
            <w:vAlign w:val="center"/>
          </w:tcPr>
          <w:p w14:paraId="6E271FE6">
            <w:pPr>
              <w:widowControl/>
              <w:adjustRightInd/>
              <w:spacing w:after="0" w:line="240" w:lineRule="auto"/>
              <w:jc w:val="center"/>
              <w:rPr>
                <w:rFonts w:hint="default" w:ascii="Times New Roman" w:hAnsi="Times New Roman" w:eastAsia="宋体" w:cs="Times New Roman"/>
                <w:b w:val="0"/>
                <w:kern w:val="0"/>
                <w:sz w:val="21"/>
                <w:szCs w:val="21"/>
                <w:lang w:eastAsia="en-US"/>
              </w:rPr>
            </w:pPr>
            <w:r>
              <w:rPr>
                <w:rFonts w:hint="default" w:ascii="Times New Roman" w:hAnsi="Times New Roman" w:eastAsia="宋体" w:cs="Times New Roman"/>
                <w:b w:val="0"/>
                <w:kern w:val="0"/>
                <w:sz w:val="21"/>
                <w:szCs w:val="21"/>
                <w:lang w:eastAsia="en-US"/>
              </w:rPr>
              <w:t>拍卖程序合规</w:t>
            </w:r>
          </w:p>
          <w:p w14:paraId="71B27632">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（8分）</w:t>
            </w:r>
          </w:p>
        </w:tc>
        <w:tc>
          <w:tcPr>
            <w:tcW w:w="1173" w:type="dxa"/>
            <w:vAlign w:val="center"/>
          </w:tcPr>
          <w:p w14:paraId="72B39CE1">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拍卖公告发布</w:t>
            </w:r>
          </w:p>
        </w:tc>
        <w:tc>
          <w:tcPr>
            <w:tcW w:w="1186" w:type="dxa"/>
            <w:vAlign w:val="center"/>
          </w:tcPr>
          <w:p w14:paraId="51AB8FC4">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内容完整、渠道合规、时间合法</w:t>
            </w:r>
          </w:p>
        </w:tc>
        <w:tc>
          <w:tcPr>
            <w:tcW w:w="4469" w:type="dxa"/>
            <w:vAlign w:val="center"/>
          </w:tcPr>
          <w:p w14:paraId="048D7E95">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公告样本；公告内容完整、发布渠道合规、时间符合法律规定得2分</w:t>
            </w:r>
            <w:r>
              <w:rPr>
                <w:rFonts w:hint="eastAsia" w:ascii="Times New Roman" w:hAnsi="Times New Roman" w:cs="Times New Roman"/>
                <w:b w:val="0"/>
                <w:kern w:val="0"/>
                <w:sz w:val="21"/>
                <w:szCs w:val="21"/>
                <w:lang w:eastAsia="zh-CN"/>
              </w:rPr>
              <w:t>。</w:t>
            </w:r>
          </w:p>
        </w:tc>
        <w:tc>
          <w:tcPr>
            <w:tcW w:w="763" w:type="dxa"/>
            <w:vAlign w:val="center"/>
          </w:tcPr>
          <w:p w14:paraId="085CC867">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2</w:t>
            </w:r>
          </w:p>
        </w:tc>
      </w:tr>
      <w:tr w14:paraId="2D862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1206" w:type="dxa"/>
            <w:vMerge w:val="continue"/>
            <w:vAlign w:val="center"/>
          </w:tcPr>
          <w:p w14:paraId="5B9328A8">
            <w:pPr>
              <w:widowControl/>
              <w:adjustRightInd/>
              <w:spacing w:after="0" w:line="240" w:lineRule="auto"/>
              <w:jc w:val="center"/>
              <w:rPr>
                <w:rFonts w:hint="default" w:ascii="Times New Roman" w:hAnsi="Times New Roman" w:cs="Times New Roman"/>
                <w:kern w:val="0"/>
                <w:sz w:val="21"/>
                <w:szCs w:val="21"/>
                <w:lang w:eastAsia="en-US"/>
              </w:rPr>
            </w:pPr>
          </w:p>
        </w:tc>
        <w:tc>
          <w:tcPr>
            <w:tcW w:w="1145" w:type="dxa"/>
            <w:vMerge w:val="continue"/>
            <w:vAlign w:val="center"/>
          </w:tcPr>
          <w:p w14:paraId="2A5082B1">
            <w:pPr>
              <w:widowControl/>
              <w:adjustRightInd/>
              <w:spacing w:after="0" w:line="240" w:lineRule="auto"/>
              <w:jc w:val="center"/>
              <w:rPr>
                <w:rFonts w:hint="default" w:ascii="Times New Roman" w:hAnsi="Times New Roman" w:cs="Times New Roman"/>
                <w:kern w:val="0"/>
                <w:sz w:val="21"/>
                <w:szCs w:val="21"/>
                <w:lang w:eastAsia="en-US"/>
              </w:rPr>
            </w:pPr>
          </w:p>
        </w:tc>
        <w:tc>
          <w:tcPr>
            <w:tcW w:w="1173" w:type="dxa"/>
            <w:vAlign w:val="center"/>
          </w:tcPr>
          <w:p w14:paraId="3713D08F">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标的展示与竞买登记</w:t>
            </w:r>
          </w:p>
        </w:tc>
        <w:tc>
          <w:tcPr>
            <w:tcW w:w="1186" w:type="dxa"/>
            <w:vAlign w:val="center"/>
          </w:tcPr>
          <w:p w14:paraId="53F469E9">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展示充分，登记审核规范</w:t>
            </w:r>
          </w:p>
        </w:tc>
        <w:tc>
          <w:tcPr>
            <w:tcW w:w="4469" w:type="dxa"/>
            <w:vAlign w:val="center"/>
          </w:tcPr>
          <w:p w14:paraId="1475024D">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现场查验；标的展示义务履行充分，竞买登记及资格审核规范得2分</w:t>
            </w:r>
            <w:r>
              <w:rPr>
                <w:rFonts w:hint="eastAsia" w:ascii="Times New Roman" w:hAnsi="Times New Roman" w:cs="Times New Roman"/>
                <w:b w:val="0"/>
                <w:kern w:val="0"/>
                <w:sz w:val="21"/>
                <w:szCs w:val="21"/>
                <w:lang w:eastAsia="zh-CN"/>
              </w:rPr>
              <w:t>。</w:t>
            </w:r>
          </w:p>
        </w:tc>
        <w:tc>
          <w:tcPr>
            <w:tcW w:w="763" w:type="dxa"/>
            <w:vAlign w:val="center"/>
          </w:tcPr>
          <w:p w14:paraId="0B775C64">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2</w:t>
            </w:r>
          </w:p>
        </w:tc>
      </w:tr>
      <w:tr w14:paraId="19091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1206" w:type="dxa"/>
            <w:vMerge w:val="continue"/>
            <w:vAlign w:val="center"/>
          </w:tcPr>
          <w:p w14:paraId="5ADF2B92">
            <w:pPr>
              <w:widowControl/>
              <w:adjustRightInd/>
              <w:spacing w:after="0" w:line="240" w:lineRule="auto"/>
              <w:jc w:val="center"/>
              <w:rPr>
                <w:rFonts w:hint="default" w:ascii="Times New Roman" w:hAnsi="Times New Roman" w:cs="Times New Roman"/>
                <w:kern w:val="0"/>
                <w:sz w:val="21"/>
                <w:szCs w:val="21"/>
                <w:lang w:eastAsia="en-US"/>
              </w:rPr>
            </w:pPr>
          </w:p>
        </w:tc>
        <w:tc>
          <w:tcPr>
            <w:tcW w:w="1145" w:type="dxa"/>
            <w:vMerge w:val="continue"/>
            <w:vAlign w:val="center"/>
          </w:tcPr>
          <w:p w14:paraId="36F2EF78">
            <w:pPr>
              <w:widowControl/>
              <w:adjustRightInd/>
              <w:spacing w:after="0" w:line="240" w:lineRule="auto"/>
              <w:jc w:val="center"/>
              <w:rPr>
                <w:rFonts w:hint="default" w:ascii="Times New Roman" w:hAnsi="Times New Roman" w:cs="Times New Roman"/>
                <w:kern w:val="0"/>
                <w:sz w:val="21"/>
                <w:szCs w:val="21"/>
                <w:lang w:eastAsia="en-US"/>
              </w:rPr>
            </w:pPr>
          </w:p>
        </w:tc>
        <w:tc>
          <w:tcPr>
            <w:tcW w:w="1173" w:type="dxa"/>
            <w:vAlign w:val="center"/>
          </w:tcPr>
          <w:p w14:paraId="5AEC5C5B">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拍卖笔录与成交确认</w:t>
            </w:r>
          </w:p>
        </w:tc>
        <w:tc>
          <w:tcPr>
            <w:tcW w:w="1186" w:type="dxa"/>
            <w:vAlign w:val="center"/>
          </w:tcPr>
          <w:p w14:paraId="0A49A47E">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制作规范，签署合规</w:t>
            </w:r>
          </w:p>
        </w:tc>
        <w:tc>
          <w:tcPr>
            <w:tcW w:w="4469" w:type="dxa"/>
            <w:vAlign w:val="center"/>
          </w:tcPr>
          <w:p w14:paraId="693B1F17">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档案抽查；拍卖笔录制作规范，成交确认书签署合规得2分</w:t>
            </w:r>
            <w:r>
              <w:rPr>
                <w:rFonts w:hint="eastAsia" w:ascii="Times New Roman" w:hAnsi="Times New Roman" w:cs="Times New Roman"/>
                <w:b w:val="0"/>
                <w:kern w:val="0"/>
                <w:sz w:val="21"/>
                <w:szCs w:val="21"/>
                <w:lang w:eastAsia="zh-CN"/>
              </w:rPr>
              <w:t>。</w:t>
            </w:r>
          </w:p>
        </w:tc>
        <w:tc>
          <w:tcPr>
            <w:tcW w:w="763" w:type="dxa"/>
            <w:vAlign w:val="center"/>
          </w:tcPr>
          <w:p w14:paraId="454F9F6D">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2</w:t>
            </w:r>
          </w:p>
        </w:tc>
      </w:tr>
      <w:tr w14:paraId="30000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206" w:type="dxa"/>
            <w:vMerge w:val="continue"/>
            <w:vAlign w:val="center"/>
          </w:tcPr>
          <w:p w14:paraId="36596F10">
            <w:pPr>
              <w:widowControl/>
              <w:adjustRightInd/>
              <w:spacing w:after="0" w:line="240" w:lineRule="auto"/>
              <w:jc w:val="center"/>
              <w:rPr>
                <w:rFonts w:hint="default" w:ascii="Times New Roman" w:hAnsi="Times New Roman" w:cs="Times New Roman"/>
                <w:kern w:val="0"/>
                <w:sz w:val="21"/>
                <w:szCs w:val="21"/>
                <w:lang w:eastAsia="en-US"/>
              </w:rPr>
            </w:pPr>
          </w:p>
        </w:tc>
        <w:tc>
          <w:tcPr>
            <w:tcW w:w="1145" w:type="dxa"/>
            <w:vMerge w:val="continue"/>
            <w:vAlign w:val="center"/>
          </w:tcPr>
          <w:p w14:paraId="0844AAB1">
            <w:pPr>
              <w:widowControl/>
              <w:adjustRightInd/>
              <w:spacing w:after="0" w:line="240" w:lineRule="auto"/>
              <w:jc w:val="center"/>
              <w:rPr>
                <w:rFonts w:hint="default" w:ascii="Times New Roman" w:hAnsi="Times New Roman" w:cs="Times New Roman"/>
                <w:kern w:val="0"/>
                <w:sz w:val="21"/>
                <w:szCs w:val="21"/>
                <w:lang w:eastAsia="en-US"/>
              </w:rPr>
            </w:pPr>
          </w:p>
        </w:tc>
        <w:tc>
          <w:tcPr>
            <w:tcW w:w="1173" w:type="dxa"/>
            <w:vAlign w:val="center"/>
          </w:tcPr>
          <w:p w14:paraId="157006A4">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标的交付与过户协助</w:t>
            </w:r>
          </w:p>
        </w:tc>
        <w:tc>
          <w:tcPr>
            <w:tcW w:w="1186" w:type="dxa"/>
            <w:vAlign w:val="center"/>
          </w:tcPr>
          <w:p w14:paraId="0697D104">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及时协助，无拖延</w:t>
            </w:r>
          </w:p>
        </w:tc>
        <w:tc>
          <w:tcPr>
            <w:tcW w:w="4469" w:type="dxa"/>
            <w:vAlign w:val="center"/>
          </w:tcPr>
          <w:p w14:paraId="2FA43343">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合同履行记录；协助办理标的交付及产权过户手续，无拖延得2分</w:t>
            </w:r>
            <w:r>
              <w:rPr>
                <w:rFonts w:hint="eastAsia" w:ascii="Times New Roman" w:hAnsi="Times New Roman" w:cs="Times New Roman"/>
                <w:b w:val="0"/>
                <w:kern w:val="0"/>
                <w:sz w:val="21"/>
                <w:szCs w:val="21"/>
                <w:lang w:eastAsia="zh-CN"/>
              </w:rPr>
              <w:t>。</w:t>
            </w:r>
          </w:p>
        </w:tc>
        <w:tc>
          <w:tcPr>
            <w:tcW w:w="763" w:type="dxa"/>
            <w:vAlign w:val="center"/>
          </w:tcPr>
          <w:p w14:paraId="696392CF">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2</w:t>
            </w:r>
          </w:p>
        </w:tc>
      </w:tr>
      <w:tr w14:paraId="31FA5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jc w:val="center"/>
        </w:trPr>
        <w:tc>
          <w:tcPr>
            <w:tcW w:w="1206" w:type="dxa"/>
            <w:vMerge w:val="continue"/>
            <w:vAlign w:val="center"/>
          </w:tcPr>
          <w:p w14:paraId="6F9204B7">
            <w:pPr>
              <w:widowControl/>
              <w:adjustRightInd/>
              <w:spacing w:after="0" w:line="240" w:lineRule="auto"/>
              <w:jc w:val="center"/>
              <w:rPr>
                <w:rFonts w:hint="default" w:ascii="Times New Roman" w:hAnsi="Times New Roman" w:cs="Times New Roman"/>
                <w:kern w:val="0"/>
                <w:sz w:val="21"/>
                <w:szCs w:val="21"/>
                <w:lang w:eastAsia="en-US"/>
              </w:rPr>
            </w:pPr>
          </w:p>
        </w:tc>
        <w:tc>
          <w:tcPr>
            <w:tcW w:w="1145" w:type="dxa"/>
            <w:vMerge w:val="restart"/>
            <w:vAlign w:val="center"/>
          </w:tcPr>
          <w:p w14:paraId="4754346C">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信息披露（5分）</w:t>
            </w:r>
          </w:p>
        </w:tc>
        <w:tc>
          <w:tcPr>
            <w:tcW w:w="1173" w:type="dxa"/>
            <w:vAlign w:val="center"/>
          </w:tcPr>
          <w:p w14:paraId="7F1047FB">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瑕疵告知义务</w:t>
            </w:r>
          </w:p>
        </w:tc>
        <w:tc>
          <w:tcPr>
            <w:tcW w:w="1186" w:type="dxa"/>
            <w:vAlign w:val="center"/>
          </w:tcPr>
          <w:p w14:paraId="2D705436">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瑕疵披露充分，无隐瞒</w:t>
            </w:r>
          </w:p>
        </w:tc>
        <w:tc>
          <w:tcPr>
            <w:tcW w:w="4469" w:type="dxa"/>
            <w:vAlign w:val="center"/>
          </w:tcPr>
          <w:p w14:paraId="66A5678E">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合同、公告；拍卖标的瑕疵告知、权利瑕疵披露充分，无隐瞒或虚假披露得3分</w:t>
            </w:r>
            <w:r>
              <w:rPr>
                <w:rFonts w:hint="eastAsia" w:ascii="Times New Roman" w:hAnsi="Times New Roman" w:cs="Times New Roman"/>
                <w:b w:val="0"/>
                <w:kern w:val="0"/>
                <w:sz w:val="21"/>
                <w:szCs w:val="21"/>
                <w:lang w:eastAsia="zh-CN"/>
              </w:rPr>
              <w:t>。</w:t>
            </w:r>
          </w:p>
        </w:tc>
        <w:tc>
          <w:tcPr>
            <w:tcW w:w="763" w:type="dxa"/>
            <w:vAlign w:val="center"/>
          </w:tcPr>
          <w:p w14:paraId="1F766D45">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3</w:t>
            </w:r>
          </w:p>
        </w:tc>
      </w:tr>
      <w:tr w14:paraId="29405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jc w:val="center"/>
        </w:trPr>
        <w:tc>
          <w:tcPr>
            <w:tcW w:w="1206" w:type="dxa"/>
            <w:vMerge w:val="continue"/>
            <w:vAlign w:val="center"/>
          </w:tcPr>
          <w:p w14:paraId="065E089C">
            <w:pPr>
              <w:widowControl/>
              <w:adjustRightInd/>
              <w:spacing w:after="0" w:line="240" w:lineRule="auto"/>
              <w:jc w:val="center"/>
              <w:rPr>
                <w:rFonts w:hint="default" w:ascii="Times New Roman" w:hAnsi="Times New Roman" w:cs="Times New Roman"/>
                <w:kern w:val="0"/>
                <w:sz w:val="21"/>
                <w:szCs w:val="21"/>
                <w:lang w:eastAsia="en-US"/>
              </w:rPr>
            </w:pPr>
          </w:p>
        </w:tc>
        <w:tc>
          <w:tcPr>
            <w:tcW w:w="1145" w:type="dxa"/>
            <w:vMerge w:val="continue"/>
            <w:vAlign w:val="center"/>
          </w:tcPr>
          <w:p w14:paraId="3DFCBBEA">
            <w:pPr>
              <w:widowControl/>
              <w:adjustRightInd/>
              <w:spacing w:after="0" w:line="240" w:lineRule="auto"/>
              <w:jc w:val="center"/>
              <w:rPr>
                <w:rFonts w:hint="default" w:ascii="Times New Roman" w:hAnsi="Times New Roman" w:cs="Times New Roman"/>
                <w:kern w:val="0"/>
                <w:sz w:val="21"/>
                <w:szCs w:val="21"/>
                <w:lang w:eastAsia="en-US"/>
              </w:rPr>
            </w:pPr>
          </w:p>
        </w:tc>
        <w:tc>
          <w:tcPr>
            <w:tcW w:w="1173" w:type="dxa"/>
            <w:vAlign w:val="center"/>
          </w:tcPr>
          <w:p w14:paraId="5CE13DF3">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收费标准公示</w:t>
            </w:r>
          </w:p>
        </w:tc>
        <w:tc>
          <w:tcPr>
            <w:tcW w:w="1186" w:type="dxa"/>
            <w:vAlign w:val="center"/>
          </w:tcPr>
          <w:p w14:paraId="66175638">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提前公示，符合法律规定</w:t>
            </w:r>
          </w:p>
        </w:tc>
        <w:tc>
          <w:tcPr>
            <w:tcW w:w="4469" w:type="dxa"/>
            <w:vAlign w:val="center"/>
          </w:tcPr>
          <w:p w14:paraId="329633A8">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公示记录；佣金及费用收取标准提前公示且符合法律规定得2分</w:t>
            </w:r>
            <w:r>
              <w:rPr>
                <w:rFonts w:hint="eastAsia" w:ascii="Times New Roman" w:hAnsi="Times New Roman" w:cs="Times New Roman"/>
                <w:b w:val="0"/>
                <w:kern w:val="0"/>
                <w:sz w:val="21"/>
                <w:szCs w:val="21"/>
                <w:lang w:eastAsia="zh-CN"/>
              </w:rPr>
              <w:t>。</w:t>
            </w:r>
          </w:p>
        </w:tc>
        <w:tc>
          <w:tcPr>
            <w:tcW w:w="763" w:type="dxa"/>
            <w:vAlign w:val="center"/>
          </w:tcPr>
          <w:p w14:paraId="38FDCF06">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2</w:t>
            </w:r>
          </w:p>
        </w:tc>
      </w:tr>
      <w:tr w14:paraId="5F8A0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1206" w:type="dxa"/>
            <w:vMerge w:val="continue"/>
            <w:vAlign w:val="center"/>
          </w:tcPr>
          <w:p w14:paraId="48439A51">
            <w:pPr>
              <w:widowControl/>
              <w:adjustRightInd/>
              <w:spacing w:after="0" w:line="240" w:lineRule="auto"/>
              <w:jc w:val="center"/>
              <w:rPr>
                <w:rFonts w:hint="default" w:ascii="Times New Roman" w:hAnsi="Times New Roman" w:cs="Times New Roman"/>
                <w:kern w:val="0"/>
                <w:sz w:val="21"/>
                <w:szCs w:val="21"/>
                <w:lang w:eastAsia="en-US"/>
              </w:rPr>
            </w:pPr>
          </w:p>
        </w:tc>
        <w:tc>
          <w:tcPr>
            <w:tcW w:w="1145" w:type="dxa"/>
            <w:vMerge w:val="restart"/>
            <w:vAlign w:val="center"/>
          </w:tcPr>
          <w:p w14:paraId="6877A66D">
            <w:pPr>
              <w:widowControl/>
              <w:adjustRightInd/>
              <w:spacing w:after="0" w:line="240" w:lineRule="auto"/>
              <w:jc w:val="center"/>
              <w:rPr>
                <w:rFonts w:hint="default" w:ascii="Times New Roman" w:hAnsi="Times New Roman" w:eastAsia="宋体" w:cs="Times New Roman"/>
                <w:b w:val="0"/>
                <w:kern w:val="0"/>
                <w:sz w:val="21"/>
                <w:szCs w:val="21"/>
                <w:lang w:eastAsia="en-US"/>
              </w:rPr>
            </w:pPr>
            <w:r>
              <w:rPr>
                <w:rFonts w:hint="default" w:ascii="Times New Roman" w:hAnsi="Times New Roman" w:eastAsia="宋体" w:cs="Times New Roman"/>
                <w:b w:val="0"/>
                <w:kern w:val="0"/>
                <w:sz w:val="21"/>
                <w:szCs w:val="21"/>
                <w:lang w:eastAsia="en-US"/>
              </w:rPr>
              <w:t>委托人权益保障</w:t>
            </w:r>
          </w:p>
          <w:p w14:paraId="7903A7CE">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（5分）</w:t>
            </w:r>
          </w:p>
        </w:tc>
        <w:tc>
          <w:tcPr>
            <w:tcW w:w="1173" w:type="dxa"/>
            <w:vAlign w:val="center"/>
          </w:tcPr>
          <w:p w14:paraId="479082A9">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标的保管</w:t>
            </w:r>
          </w:p>
        </w:tc>
        <w:tc>
          <w:tcPr>
            <w:tcW w:w="1186" w:type="dxa"/>
            <w:vAlign w:val="center"/>
          </w:tcPr>
          <w:p w14:paraId="11919C2E">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妥善保管，无毁损灭失</w:t>
            </w:r>
          </w:p>
        </w:tc>
        <w:tc>
          <w:tcPr>
            <w:tcW w:w="4469" w:type="dxa"/>
            <w:vAlign w:val="center"/>
          </w:tcPr>
          <w:p w14:paraId="39766DB6">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现场查验；拍卖标的妥善保管，无毁损灭失得2分</w:t>
            </w:r>
            <w:r>
              <w:rPr>
                <w:rFonts w:hint="eastAsia" w:ascii="Times New Roman" w:hAnsi="Times New Roman" w:cs="Times New Roman"/>
                <w:b w:val="0"/>
                <w:kern w:val="0"/>
                <w:sz w:val="21"/>
                <w:szCs w:val="21"/>
                <w:lang w:eastAsia="zh-CN"/>
              </w:rPr>
              <w:t>。</w:t>
            </w:r>
          </w:p>
        </w:tc>
        <w:tc>
          <w:tcPr>
            <w:tcW w:w="763" w:type="dxa"/>
            <w:vAlign w:val="center"/>
          </w:tcPr>
          <w:p w14:paraId="2D792C4F">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2</w:t>
            </w:r>
          </w:p>
        </w:tc>
      </w:tr>
      <w:tr w14:paraId="10EA0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1206" w:type="dxa"/>
            <w:vMerge w:val="continue"/>
            <w:vAlign w:val="center"/>
          </w:tcPr>
          <w:p w14:paraId="7F0C432F">
            <w:pPr>
              <w:widowControl/>
              <w:adjustRightInd/>
              <w:spacing w:after="0" w:line="240" w:lineRule="auto"/>
              <w:jc w:val="center"/>
              <w:rPr>
                <w:rFonts w:hint="default" w:ascii="Times New Roman" w:hAnsi="Times New Roman" w:cs="Times New Roman"/>
                <w:kern w:val="0"/>
                <w:sz w:val="21"/>
                <w:szCs w:val="21"/>
                <w:lang w:eastAsia="en-US"/>
              </w:rPr>
            </w:pPr>
          </w:p>
        </w:tc>
        <w:tc>
          <w:tcPr>
            <w:tcW w:w="1145" w:type="dxa"/>
            <w:vMerge w:val="continue"/>
            <w:vAlign w:val="center"/>
          </w:tcPr>
          <w:p w14:paraId="26B2D65D">
            <w:pPr>
              <w:widowControl/>
              <w:adjustRightInd/>
              <w:spacing w:after="0" w:line="240" w:lineRule="auto"/>
              <w:jc w:val="center"/>
              <w:rPr>
                <w:rFonts w:hint="default" w:ascii="Times New Roman" w:hAnsi="Times New Roman" w:cs="Times New Roman"/>
                <w:kern w:val="0"/>
                <w:sz w:val="21"/>
                <w:szCs w:val="21"/>
                <w:lang w:eastAsia="en-US"/>
              </w:rPr>
            </w:pPr>
          </w:p>
        </w:tc>
        <w:tc>
          <w:tcPr>
            <w:tcW w:w="1173" w:type="dxa"/>
            <w:vAlign w:val="center"/>
          </w:tcPr>
          <w:p w14:paraId="5B7ED471">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款项结算</w:t>
            </w:r>
          </w:p>
        </w:tc>
        <w:tc>
          <w:tcPr>
            <w:tcW w:w="1186" w:type="dxa"/>
            <w:vAlign w:val="center"/>
          </w:tcPr>
          <w:p w14:paraId="19FBDE91">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按时结算，无挪用拖欠</w:t>
            </w:r>
          </w:p>
        </w:tc>
        <w:tc>
          <w:tcPr>
            <w:tcW w:w="4469" w:type="dxa"/>
            <w:vAlign w:val="center"/>
          </w:tcPr>
          <w:p w14:paraId="581466AA">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银行流水；拍卖款按时结算，无挪用、拖欠得2分</w:t>
            </w:r>
            <w:r>
              <w:rPr>
                <w:rFonts w:hint="eastAsia" w:ascii="Times New Roman" w:hAnsi="Times New Roman" w:cs="Times New Roman"/>
                <w:b w:val="0"/>
                <w:kern w:val="0"/>
                <w:sz w:val="21"/>
                <w:szCs w:val="21"/>
                <w:lang w:eastAsia="zh-CN"/>
              </w:rPr>
              <w:t>。</w:t>
            </w:r>
          </w:p>
        </w:tc>
        <w:tc>
          <w:tcPr>
            <w:tcW w:w="763" w:type="dxa"/>
            <w:vAlign w:val="center"/>
          </w:tcPr>
          <w:p w14:paraId="6FAE6995">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2</w:t>
            </w:r>
          </w:p>
        </w:tc>
      </w:tr>
      <w:tr w14:paraId="177ED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1206" w:type="dxa"/>
            <w:vMerge w:val="continue"/>
            <w:vAlign w:val="center"/>
          </w:tcPr>
          <w:p w14:paraId="09B8B18B">
            <w:pPr>
              <w:widowControl/>
              <w:adjustRightInd/>
              <w:spacing w:after="0" w:line="240" w:lineRule="auto"/>
              <w:jc w:val="center"/>
              <w:rPr>
                <w:rFonts w:hint="default" w:ascii="Times New Roman" w:hAnsi="Times New Roman" w:cs="Times New Roman"/>
                <w:kern w:val="0"/>
                <w:sz w:val="21"/>
                <w:szCs w:val="21"/>
                <w:lang w:eastAsia="en-US"/>
              </w:rPr>
            </w:pPr>
          </w:p>
        </w:tc>
        <w:tc>
          <w:tcPr>
            <w:tcW w:w="1145" w:type="dxa"/>
            <w:vMerge w:val="continue"/>
            <w:vAlign w:val="center"/>
          </w:tcPr>
          <w:p w14:paraId="769DBDCC">
            <w:pPr>
              <w:widowControl/>
              <w:adjustRightInd/>
              <w:spacing w:after="0" w:line="240" w:lineRule="auto"/>
              <w:jc w:val="center"/>
              <w:rPr>
                <w:rFonts w:hint="default" w:ascii="Times New Roman" w:hAnsi="Times New Roman" w:cs="Times New Roman"/>
                <w:kern w:val="0"/>
                <w:sz w:val="21"/>
                <w:szCs w:val="21"/>
                <w:lang w:eastAsia="en-US"/>
              </w:rPr>
            </w:pPr>
          </w:p>
        </w:tc>
        <w:tc>
          <w:tcPr>
            <w:tcW w:w="1173" w:type="dxa"/>
            <w:vAlign w:val="center"/>
          </w:tcPr>
          <w:p w14:paraId="6E935789">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知情权保障</w:t>
            </w:r>
          </w:p>
        </w:tc>
        <w:tc>
          <w:tcPr>
            <w:tcW w:w="1186" w:type="dxa"/>
            <w:vAlign w:val="center"/>
          </w:tcPr>
          <w:p w14:paraId="42B03C03">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及时通报拍卖进展</w:t>
            </w:r>
          </w:p>
        </w:tc>
        <w:tc>
          <w:tcPr>
            <w:tcW w:w="4469" w:type="dxa"/>
            <w:vAlign w:val="center"/>
          </w:tcPr>
          <w:p w14:paraId="10475F33">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委托人反馈；及时向委托人通报拍卖进展、成交情况等得1分</w:t>
            </w:r>
            <w:r>
              <w:rPr>
                <w:rFonts w:hint="eastAsia" w:ascii="Times New Roman" w:hAnsi="Times New Roman" w:cs="Times New Roman"/>
                <w:b w:val="0"/>
                <w:kern w:val="0"/>
                <w:sz w:val="21"/>
                <w:szCs w:val="21"/>
                <w:lang w:eastAsia="zh-CN"/>
              </w:rPr>
              <w:t>。</w:t>
            </w:r>
          </w:p>
        </w:tc>
        <w:tc>
          <w:tcPr>
            <w:tcW w:w="763" w:type="dxa"/>
            <w:vAlign w:val="center"/>
          </w:tcPr>
          <w:p w14:paraId="30CADBD7">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1</w:t>
            </w:r>
          </w:p>
        </w:tc>
      </w:tr>
      <w:tr w14:paraId="5040F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1206" w:type="dxa"/>
            <w:vMerge w:val="continue"/>
            <w:vAlign w:val="center"/>
          </w:tcPr>
          <w:p w14:paraId="2B454572">
            <w:pPr>
              <w:widowControl/>
              <w:adjustRightInd/>
              <w:spacing w:after="0" w:line="240" w:lineRule="auto"/>
              <w:jc w:val="center"/>
              <w:rPr>
                <w:rFonts w:hint="default" w:ascii="Times New Roman" w:hAnsi="Times New Roman" w:cs="Times New Roman"/>
                <w:kern w:val="0"/>
                <w:sz w:val="21"/>
                <w:szCs w:val="21"/>
                <w:lang w:eastAsia="en-US"/>
              </w:rPr>
            </w:pPr>
          </w:p>
        </w:tc>
        <w:tc>
          <w:tcPr>
            <w:tcW w:w="1145" w:type="dxa"/>
            <w:vMerge w:val="restart"/>
            <w:vAlign w:val="center"/>
          </w:tcPr>
          <w:p w14:paraId="154062FE">
            <w:pPr>
              <w:widowControl/>
              <w:adjustRightInd/>
              <w:spacing w:after="0" w:line="240" w:lineRule="auto"/>
              <w:jc w:val="center"/>
              <w:rPr>
                <w:rFonts w:hint="default" w:ascii="Times New Roman" w:hAnsi="Times New Roman" w:eastAsia="宋体" w:cs="Times New Roman"/>
                <w:b w:val="0"/>
                <w:kern w:val="0"/>
                <w:sz w:val="21"/>
                <w:szCs w:val="21"/>
                <w:lang w:eastAsia="en-US"/>
              </w:rPr>
            </w:pPr>
            <w:r>
              <w:rPr>
                <w:rFonts w:hint="default" w:ascii="Times New Roman" w:hAnsi="Times New Roman" w:eastAsia="宋体" w:cs="Times New Roman"/>
                <w:b w:val="0"/>
                <w:kern w:val="0"/>
                <w:sz w:val="21"/>
                <w:szCs w:val="21"/>
                <w:lang w:eastAsia="en-US"/>
              </w:rPr>
              <w:t>竞买人权益保障</w:t>
            </w:r>
          </w:p>
          <w:p w14:paraId="21516D5B">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（4分）</w:t>
            </w:r>
          </w:p>
        </w:tc>
        <w:tc>
          <w:tcPr>
            <w:tcW w:w="1173" w:type="dxa"/>
            <w:vAlign w:val="center"/>
          </w:tcPr>
          <w:p w14:paraId="13A3705E">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公平竞价权</w:t>
            </w:r>
          </w:p>
        </w:tc>
        <w:tc>
          <w:tcPr>
            <w:tcW w:w="1186" w:type="dxa"/>
            <w:vAlign w:val="center"/>
          </w:tcPr>
          <w:p w14:paraId="068736D4">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保障公平竞价，无串通</w:t>
            </w:r>
          </w:p>
        </w:tc>
        <w:tc>
          <w:tcPr>
            <w:tcW w:w="4469" w:type="dxa"/>
            <w:vAlign w:val="center"/>
          </w:tcPr>
          <w:p w14:paraId="2BFA26C1">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投诉记录；保障竞买人知情权、公平竞价权，无串通竞价、恶意抬价等行为得2分</w:t>
            </w:r>
            <w:r>
              <w:rPr>
                <w:rFonts w:hint="eastAsia" w:ascii="Times New Roman" w:hAnsi="Times New Roman" w:cs="Times New Roman"/>
                <w:b w:val="0"/>
                <w:kern w:val="0"/>
                <w:sz w:val="21"/>
                <w:szCs w:val="21"/>
                <w:lang w:eastAsia="zh-CN"/>
              </w:rPr>
              <w:t>。</w:t>
            </w:r>
          </w:p>
        </w:tc>
        <w:tc>
          <w:tcPr>
            <w:tcW w:w="763" w:type="dxa"/>
            <w:vAlign w:val="center"/>
          </w:tcPr>
          <w:p w14:paraId="5EB95AA1">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2</w:t>
            </w:r>
          </w:p>
        </w:tc>
      </w:tr>
      <w:tr w14:paraId="28CE9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1206" w:type="dxa"/>
            <w:vMerge w:val="continue"/>
            <w:vAlign w:val="center"/>
          </w:tcPr>
          <w:p w14:paraId="6A573A3B">
            <w:pPr>
              <w:widowControl/>
              <w:adjustRightInd/>
              <w:spacing w:after="0" w:line="240" w:lineRule="auto"/>
              <w:jc w:val="center"/>
              <w:rPr>
                <w:rFonts w:hint="default" w:ascii="Times New Roman" w:hAnsi="Times New Roman" w:cs="Times New Roman"/>
                <w:kern w:val="0"/>
                <w:sz w:val="21"/>
                <w:szCs w:val="21"/>
                <w:lang w:eastAsia="en-US"/>
              </w:rPr>
            </w:pPr>
          </w:p>
        </w:tc>
        <w:tc>
          <w:tcPr>
            <w:tcW w:w="1145" w:type="dxa"/>
            <w:vMerge w:val="continue"/>
            <w:vAlign w:val="center"/>
          </w:tcPr>
          <w:p w14:paraId="470428F1">
            <w:pPr>
              <w:widowControl/>
              <w:adjustRightInd/>
              <w:spacing w:after="0" w:line="240" w:lineRule="auto"/>
              <w:jc w:val="center"/>
              <w:rPr>
                <w:rFonts w:hint="default" w:ascii="Times New Roman" w:hAnsi="Times New Roman" w:cs="Times New Roman"/>
                <w:kern w:val="0"/>
                <w:sz w:val="21"/>
                <w:szCs w:val="21"/>
                <w:lang w:eastAsia="en-US"/>
              </w:rPr>
            </w:pPr>
          </w:p>
        </w:tc>
        <w:tc>
          <w:tcPr>
            <w:tcW w:w="1173" w:type="dxa"/>
            <w:vAlign w:val="center"/>
          </w:tcPr>
          <w:p w14:paraId="0C9B0086">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保证金退还</w:t>
            </w:r>
          </w:p>
        </w:tc>
        <w:tc>
          <w:tcPr>
            <w:tcW w:w="1186" w:type="dxa"/>
            <w:vAlign w:val="center"/>
          </w:tcPr>
          <w:p w14:paraId="2E993DF4">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及时退还，无拖延克扣</w:t>
            </w:r>
          </w:p>
        </w:tc>
        <w:tc>
          <w:tcPr>
            <w:tcW w:w="4469" w:type="dxa"/>
            <w:vAlign w:val="center"/>
          </w:tcPr>
          <w:p w14:paraId="77A949B4">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退还记录；未成交竞买人保证金及时退还，无拖延或克扣得2分</w:t>
            </w:r>
            <w:r>
              <w:rPr>
                <w:rFonts w:hint="eastAsia" w:ascii="Times New Roman" w:hAnsi="Times New Roman" w:cs="Times New Roman"/>
                <w:b w:val="0"/>
                <w:kern w:val="0"/>
                <w:sz w:val="21"/>
                <w:szCs w:val="21"/>
                <w:lang w:eastAsia="zh-CN"/>
              </w:rPr>
              <w:t>。</w:t>
            </w:r>
          </w:p>
        </w:tc>
        <w:tc>
          <w:tcPr>
            <w:tcW w:w="763" w:type="dxa"/>
            <w:vAlign w:val="center"/>
          </w:tcPr>
          <w:p w14:paraId="0C1E9E2F">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2</w:t>
            </w:r>
          </w:p>
        </w:tc>
      </w:tr>
      <w:tr w14:paraId="17F13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1206" w:type="dxa"/>
            <w:vMerge w:val="continue"/>
            <w:vAlign w:val="center"/>
          </w:tcPr>
          <w:p w14:paraId="1891287B">
            <w:pPr>
              <w:widowControl/>
              <w:adjustRightInd/>
              <w:spacing w:after="0" w:line="240" w:lineRule="auto"/>
              <w:jc w:val="center"/>
              <w:rPr>
                <w:rFonts w:hint="default" w:ascii="Times New Roman" w:hAnsi="Times New Roman" w:cs="Times New Roman"/>
                <w:kern w:val="0"/>
                <w:sz w:val="21"/>
                <w:szCs w:val="21"/>
                <w:lang w:eastAsia="en-US"/>
              </w:rPr>
            </w:pPr>
          </w:p>
        </w:tc>
        <w:tc>
          <w:tcPr>
            <w:tcW w:w="1145" w:type="dxa"/>
            <w:vMerge w:val="restart"/>
            <w:vAlign w:val="center"/>
          </w:tcPr>
          <w:p w14:paraId="122340FF">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投诉处理（3分）</w:t>
            </w:r>
          </w:p>
        </w:tc>
        <w:tc>
          <w:tcPr>
            <w:tcW w:w="1173" w:type="dxa"/>
            <w:vAlign w:val="center"/>
          </w:tcPr>
          <w:p w14:paraId="3A988082">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投诉渠道</w:t>
            </w:r>
          </w:p>
        </w:tc>
        <w:tc>
          <w:tcPr>
            <w:tcW w:w="1186" w:type="dxa"/>
            <w:vAlign w:val="center"/>
          </w:tcPr>
          <w:p w14:paraId="4D2AC3B9">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多渠道投诉机制</w:t>
            </w:r>
          </w:p>
        </w:tc>
        <w:tc>
          <w:tcPr>
            <w:tcW w:w="4469" w:type="dxa"/>
            <w:vAlign w:val="center"/>
          </w:tcPr>
          <w:p w14:paraId="639E3446">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现场查验；建立多渠道投诉机制（电话、邮箱、线上平台等）得1分</w:t>
            </w:r>
            <w:r>
              <w:rPr>
                <w:rFonts w:hint="eastAsia" w:ascii="Times New Roman" w:hAnsi="Times New Roman" w:cs="Times New Roman"/>
                <w:b w:val="0"/>
                <w:kern w:val="0"/>
                <w:sz w:val="21"/>
                <w:szCs w:val="21"/>
                <w:lang w:eastAsia="zh-CN"/>
              </w:rPr>
              <w:t>。</w:t>
            </w:r>
          </w:p>
        </w:tc>
        <w:tc>
          <w:tcPr>
            <w:tcW w:w="763" w:type="dxa"/>
            <w:vAlign w:val="center"/>
          </w:tcPr>
          <w:p w14:paraId="15725371">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1</w:t>
            </w:r>
          </w:p>
        </w:tc>
      </w:tr>
      <w:tr w14:paraId="20359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jc w:val="center"/>
        </w:trPr>
        <w:tc>
          <w:tcPr>
            <w:tcW w:w="1206" w:type="dxa"/>
            <w:vMerge w:val="continue"/>
            <w:vAlign w:val="center"/>
          </w:tcPr>
          <w:p w14:paraId="16325D4B">
            <w:pPr>
              <w:widowControl/>
              <w:adjustRightInd/>
              <w:spacing w:after="0" w:line="240" w:lineRule="auto"/>
              <w:jc w:val="center"/>
              <w:rPr>
                <w:rFonts w:hint="default" w:ascii="Times New Roman" w:hAnsi="Times New Roman" w:cs="Times New Roman"/>
                <w:kern w:val="0"/>
                <w:sz w:val="21"/>
                <w:szCs w:val="21"/>
                <w:lang w:eastAsia="en-US"/>
              </w:rPr>
            </w:pPr>
          </w:p>
        </w:tc>
        <w:tc>
          <w:tcPr>
            <w:tcW w:w="1145" w:type="dxa"/>
            <w:vMerge w:val="continue"/>
            <w:vAlign w:val="center"/>
          </w:tcPr>
          <w:p w14:paraId="52784213">
            <w:pPr>
              <w:widowControl/>
              <w:adjustRightInd/>
              <w:spacing w:after="0" w:line="240" w:lineRule="auto"/>
              <w:jc w:val="center"/>
              <w:rPr>
                <w:rFonts w:hint="default" w:ascii="Times New Roman" w:hAnsi="Times New Roman" w:cs="Times New Roman"/>
                <w:kern w:val="0"/>
                <w:sz w:val="21"/>
                <w:szCs w:val="21"/>
                <w:lang w:eastAsia="en-US"/>
              </w:rPr>
            </w:pPr>
          </w:p>
        </w:tc>
        <w:tc>
          <w:tcPr>
            <w:tcW w:w="1173" w:type="dxa"/>
            <w:vAlign w:val="center"/>
          </w:tcPr>
          <w:p w14:paraId="36BF816C">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处理及时率</w:t>
            </w:r>
          </w:p>
        </w:tc>
        <w:tc>
          <w:tcPr>
            <w:tcW w:w="1186" w:type="dxa"/>
            <w:vAlign w:val="center"/>
          </w:tcPr>
          <w:p w14:paraId="2796388C">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及时率≥95%</w:t>
            </w:r>
          </w:p>
        </w:tc>
        <w:tc>
          <w:tcPr>
            <w:tcW w:w="4469" w:type="dxa"/>
            <w:vAlign w:val="center"/>
          </w:tcPr>
          <w:p w14:paraId="4BDC4C06">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投诉记录；投诉处理及时率≥95%得1分</w:t>
            </w:r>
            <w:r>
              <w:rPr>
                <w:rFonts w:hint="eastAsia" w:ascii="Times New Roman" w:hAnsi="Times New Roman" w:cs="Times New Roman"/>
                <w:b w:val="0"/>
                <w:kern w:val="0"/>
                <w:sz w:val="21"/>
                <w:szCs w:val="21"/>
                <w:lang w:eastAsia="zh-CN"/>
              </w:rPr>
              <w:t>。</w:t>
            </w:r>
          </w:p>
        </w:tc>
        <w:tc>
          <w:tcPr>
            <w:tcW w:w="763" w:type="dxa"/>
            <w:vAlign w:val="center"/>
          </w:tcPr>
          <w:p w14:paraId="02E261E6">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1</w:t>
            </w:r>
          </w:p>
        </w:tc>
      </w:tr>
      <w:tr w14:paraId="09703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jc w:val="center"/>
        </w:trPr>
        <w:tc>
          <w:tcPr>
            <w:tcW w:w="1206" w:type="dxa"/>
            <w:vMerge w:val="continue"/>
            <w:vAlign w:val="center"/>
          </w:tcPr>
          <w:p w14:paraId="6EB7E628">
            <w:pPr>
              <w:widowControl/>
              <w:adjustRightInd/>
              <w:spacing w:after="0" w:line="240" w:lineRule="auto"/>
              <w:jc w:val="center"/>
              <w:rPr>
                <w:rFonts w:hint="default" w:ascii="Times New Roman" w:hAnsi="Times New Roman" w:cs="Times New Roman"/>
                <w:kern w:val="0"/>
                <w:sz w:val="21"/>
                <w:szCs w:val="21"/>
                <w:lang w:eastAsia="en-US"/>
              </w:rPr>
            </w:pPr>
          </w:p>
        </w:tc>
        <w:tc>
          <w:tcPr>
            <w:tcW w:w="1145" w:type="dxa"/>
            <w:vMerge w:val="continue"/>
            <w:vAlign w:val="center"/>
          </w:tcPr>
          <w:p w14:paraId="4102B770">
            <w:pPr>
              <w:widowControl/>
              <w:adjustRightInd/>
              <w:spacing w:after="0" w:line="240" w:lineRule="auto"/>
              <w:jc w:val="center"/>
              <w:rPr>
                <w:rFonts w:hint="default" w:ascii="Times New Roman" w:hAnsi="Times New Roman" w:cs="Times New Roman"/>
                <w:kern w:val="0"/>
                <w:sz w:val="21"/>
                <w:szCs w:val="21"/>
                <w:lang w:eastAsia="en-US"/>
              </w:rPr>
            </w:pPr>
          </w:p>
        </w:tc>
        <w:tc>
          <w:tcPr>
            <w:tcW w:w="1173" w:type="dxa"/>
            <w:vAlign w:val="center"/>
          </w:tcPr>
          <w:p w14:paraId="4187A498">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处理满意度</w:t>
            </w:r>
          </w:p>
        </w:tc>
        <w:tc>
          <w:tcPr>
            <w:tcW w:w="1186" w:type="dxa"/>
            <w:vAlign w:val="center"/>
          </w:tcPr>
          <w:p w14:paraId="1BF15DE8">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满意度≥90%</w:t>
            </w:r>
          </w:p>
        </w:tc>
        <w:tc>
          <w:tcPr>
            <w:tcW w:w="4469" w:type="dxa"/>
            <w:vAlign w:val="center"/>
          </w:tcPr>
          <w:p w14:paraId="74C64BD0">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满意度调查；投诉处理满意度≥90%得1分</w:t>
            </w:r>
            <w:r>
              <w:rPr>
                <w:rFonts w:hint="eastAsia" w:ascii="Times New Roman" w:hAnsi="Times New Roman" w:cs="Times New Roman"/>
                <w:b w:val="0"/>
                <w:kern w:val="0"/>
                <w:sz w:val="21"/>
                <w:szCs w:val="21"/>
                <w:lang w:eastAsia="zh-CN"/>
              </w:rPr>
              <w:t>。</w:t>
            </w:r>
          </w:p>
        </w:tc>
        <w:tc>
          <w:tcPr>
            <w:tcW w:w="763" w:type="dxa"/>
            <w:vAlign w:val="center"/>
          </w:tcPr>
          <w:p w14:paraId="3B35DC53">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1</w:t>
            </w:r>
          </w:p>
        </w:tc>
      </w:tr>
    </w:tbl>
    <w:p w14:paraId="47DE8D99">
      <w:pPr>
        <w:pStyle w:val="88"/>
        <w:numPr>
          <w:ilvl w:val="1"/>
          <w:numId w:val="0"/>
        </w:numPr>
        <w:bidi w:val="0"/>
        <w:ind w:leftChars="0"/>
        <w:jc w:val="center"/>
        <w:rPr>
          <w:rFonts w:hint="eastAsia" w:eastAsia="宋体"/>
          <w:lang w:eastAsia="zh-CN"/>
        </w:rPr>
      </w:pPr>
      <w:r>
        <w:rPr>
          <w:rFonts w:hint="eastAsia"/>
        </w:rPr>
        <w:t>表A.1 拍卖企业信用评价表</w:t>
      </w:r>
      <w:r>
        <w:rPr>
          <w:rFonts w:hint="eastAsia"/>
          <w:lang w:eastAsia="zh-CN"/>
        </w:rPr>
        <w:t>（</w:t>
      </w:r>
      <w:r>
        <w:rPr>
          <w:rFonts w:hint="eastAsia"/>
          <w:lang w:val="en-US" w:eastAsia="zh-CN"/>
        </w:rPr>
        <w:t>续</w:t>
      </w:r>
      <w:r>
        <w:rPr>
          <w:rFonts w:hint="eastAsia"/>
          <w:lang w:eastAsia="zh-CN"/>
        </w:rPr>
        <w:t>）</w:t>
      </w:r>
    </w:p>
    <w:tbl>
      <w:tblPr>
        <w:tblStyle w:val="27"/>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5"/>
        <w:gridCol w:w="1074"/>
        <w:gridCol w:w="1227"/>
        <w:gridCol w:w="1173"/>
        <w:gridCol w:w="4473"/>
        <w:gridCol w:w="763"/>
      </w:tblGrid>
      <w:tr w14:paraId="19A2A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1145" w:type="dxa"/>
            <w:vAlign w:val="center"/>
          </w:tcPr>
          <w:p w14:paraId="08157FB5">
            <w:pPr>
              <w:widowControl/>
              <w:adjustRightInd/>
              <w:spacing w:after="0" w:line="240" w:lineRule="auto"/>
              <w:jc w:val="center"/>
              <w:rPr>
                <w:rFonts w:hint="eastAsia" w:ascii="Times New Roman" w:hAnsi="Times New Roman" w:eastAsia="宋体" w:cs="Times New Roman"/>
                <w:b/>
                <w:bCs/>
                <w:kern w:val="0"/>
                <w:sz w:val="21"/>
                <w:szCs w:val="21"/>
                <w:lang w:val="en-US" w:eastAsia="zh-CN"/>
              </w:rPr>
            </w:pPr>
            <w:r>
              <w:rPr>
                <w:rFonts w:hint="eastAsia" w:ascii="Times New Roman" w:hAnsi="Times New Roman" w:cs="Times New Roman"/>
                <w:b/>
                <w:bCs/>
                <w:kern w:val="0"/>
                <w:sz w:val="21"/>
                <w:szCs w:val="21"/>
                <w:lang w:val="en-US" w:eastAsia="zh-CN"/>
              </w:rPr>
              <w:t>一级指标</w:t>
            </w:r>
          </w:p>
        </w:tc>
        <w:tc>
          <w:tcPr>
            <w:tcW w:w="1074" w:type="dxa"/>
            <w:vAlign w:val="center"/>
          </w:tcPr>
          <w:p w14:paraId="6FCAC75B">
            <w:pPr>
              <w:widowControl/>
              <w:adjustRightInd/>
              <w:spacing w:after="0" w:line="240" w:lineRule="auto"/>
              <w:jc w:val="center"/>
              <w:rPr>
                <w:rFonts w:hint="eastAsia" w:ascii="Times New Roman" w:hAnsi="Times New Roman" w:eastAsia="宋体" w:cs="Times New Roman"/>
                <w:b/>
                <w:bCs/>
                <w:kern w:val="0"/>
                <w:sz w:val="21"/>
                <w:szCs w:val="21"/>
                <w:lang w:val="en-US" w:eastAsia="zh-CN"/>
              </w:rPr>
            </w:pPr>
            <w:r>
              <w:rPr>
                <w:rFonts w:hint="eastAsia" w:ascii="Times New Roman" w:hAnsi="Times New Roman" w:cs="Times New Roman"/>
                <w:b/>
                <w:bCs/>
                <w:kern w:val="0"/>
                <w:sz w:val="21"/>
                <w:szCs w:val="21"/>
                <w:lang w:val="en-US" w:eastAsia="zh-CN"/>
              </w:rPr>
              <w:t>二级指标</w:t>
            </w:r>
          </w:p>
        </w:tc>
        <w:tc>
          <w:tcPr>
            <w:tcW w:w="1227" w:type="dxa"/>
            <w:vAlign w:val="center"/>
          </w:tcPr>
          <w:p w14:paraId="2047EDDF">
            <w:pPr>
              <w:widowControl/>
              <w:adjustRightInd/>
              <w:spacing w:after="0" w:line="240" w:lineRule="auto"/>
              <w:jc w:val="center"/>
              <w:rPr>
                <w:rFonts w:hint="eastAsia" w:ascii="Times New Roman" w:hAnsi="Times New Roman" w:eastAsia="宋体" w:cs="Times New Roman"/>
                <w:b/>
                <w:bCs/>
                <w:kern w:val="0"/>
                <w:sz w:val="21"/>
                <w:szCs w:val="21"/>
                <w:lang w:val="en-US" w:eastAsia="zh-CN"/>
              </w:rPr>
            </w:pPr>
            <w:r>
              <w:rPr>
                <w:rFonts w:hint="eastAsia" w:ascii="Times New Roman" w:hAnsi="Times New Roman" w:cs="Times New Roman"/>
                <w:b/>
                <w:bCs/>
                <w:kern w:val="0"/>
                <w:sz w:val="21"/>
                <w:szCs w:val="21"/>
                <w:lang w:val="en-US" w:eastAsia="zh-CN"/>
              </w:rPr>
              <w:t>三级指标</w:t>
            </w:r>
          </w:p>
        </w:tc>
        <w:tc>
          <w:tcPr>
            <w:tcW w:w="1173" w:type="dxa"/>
            <w:vAlign w:val="center"/>
          </w:tcPr>
          <w:p w14:paraId="2EC99506">
            <w:pPr>
              <w:widowControl/>
              <w:adjustRightInd/>
              <w:spacing w:after="0" w:line="240" w:lineRule="auto"/>
              <w:jc w:val="center"/>
              <w:rPr>
                <w:rFonts w:hint="eastAsia" w:ascii="Times New Roman" w:hAnsi="Times New Roman" w:eastAsia="宋体" w:cs="Times New Roman"/>
                <w:b/>
                <w:bCs/>
                <w:kern w:val="0"/>
                <w:sz w:val="21"/>
                <w:szCs w:val="21"/>
                <w:lang w:val="en-US" w:eastAsia="zh-CN"/>
              </w:rPr>
            </w:pPr>
            <w:r>
              <w:rPr>
                <w:rFonts w:hint="eastAsia" w:ascii="Times New Roman" w:hAnsi="Times New Roman" w:cs="Times New Roman"/>
                <w:b/>
                <w:bCs/>
                <w:kern w:val="0"/>
                <w:sz w:val="21"/>
                <w:szCs w:val="21"/>
                <w:lang w:val="en-US" w:eastAsia="zh-CN"/>
              </w:rPr>
              <w:t>四级指标</w:t>
            </w:r>
          </w:p>
        </w:tc>
        <w:tc>
          <w:tcPr>
            <w:tcW w:w="4473" w:type="dxa"/>
            <w:vAlign w:val="center"/>
          </w:tcPr>
          <w:p w14:paraId="5EE114FB">
            <w:pPr>
              <w:widowControl/>
              <w:adjustRightInd/>
              <w:spacing w:after="0" w:line="240" w:lineRule="auto"/>
              <w:jc w:val="center"/>
              <w:rPr>
                <w:rFonts w:hint="default" w:ascii="Times New Roman" w:hAnsi="Times New Roman" w:eastAsia="宋体" w:cs="Times New Roman"/>
                <w:b/>
                <w:bCs/>
                <w:kern w:val="0"/>
                <w:sz w:val="21"/>
                <w:szCs w:val="21"/>
                <w:lang w:val="en-US" w:eastAsia="zh-CN"/>
              </w:rPr>
            </w:pPr>
            <w:r>
              <w:rPr>
                <w:rFonts w:hint="eastAsia" w:ascii="Times New Roman" w:hAnsi="Times New Roman" w:cs="Times New Roman"/>
                <w:b/>
                <w:bCs/>
                <w:kern w:val="0"/>
                <w:sz w:val="21"/>
                <w:szCs w:val="21"/>
                <w:lang w:val="en-US" w:eastAsia="zh-CN"/>
              </w:rPr>
              <w:t>指标说明</w:t>
            </w:r>
          </w:p>
        </w:tc>
        <w:tc>
          <w:tcPr>
            <w:tcW w:w="763" w:type="dxa"/>
            <w:vAlign w:val="center"/>
          </w:tcPr>
          <w:p w14:paraId="570C02D6">
            <w:pPr>
              <w:widowControl/>
              <w:adjustRightInd/>
              <w:spacing w:after="0" w:line="240" w:lineRule="auto"/>
              <w:jc w:val="center"/>
              <w:rPr>
                <w:rFonts w:hint="eastAsia" w:ascii="Times New Roman" w:hAnsi="Times New Roman" w:eastAsia="宋体" w:cs="Times New Roman"/>
                <w:b/>
                <w:bCs/>
                <w:kern w:val="0"/>
                <w:sz w:val="21"/>
                <w:szCs w:val="21"/>
                <w:lang w:val="en-US" w:eastAsia="zh-CN"/>
              </w:rPr>
            </w:pPr>
            <w:r>
              <w:rPr>
                <w:rFonts w:hint="eastAsia" w:ascii="Times New Roman" w:hAnsi="Times New Roman" w:cs="Times New Roman"/>
                <w:b/>
                <w:bCs/>
                <w:kern w:val="0"/>
                <w:sz w:val="21"/>
                <w:szCs w:val="21"/>
                <w:lang w:val="en-US" w:eastAsia="zh-CN"/>
              </w:rPr>
              <w:t>分值</w:t>
            </w:r>
          </w:p>
        </w:tc>
      </w:tr>
      <w:tr w14:paraId="4FA69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3" w:hRule="atLeast"/>
          <w:jc w:val="center"/>
        </w:trPr>
        <w:tc>
          <w:tcPr>
            <w:tcW w:w="1145" w:type="dxa"/>
            <w:vMerge w:val="restart"/>
            <w:vAlign w:val="center"/>
          </w:tcPr>
          <w:p w14:paraId="2488860D">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公共信用（20分）</w:t>
            </w:r>
          </w:p>
        </w:tc>
        <w:tc>
          <w:tcPr>
            <w:tcW w:w="1074" w:type="dxa"/>
            <w:vMerge w:val="restart"/>
            <w:vAlign w:val="center"/>
          </w:tcPr>
          <w:p w14:paraId="684A2EF3">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行政监管记录（8分）</w:t>
            </w:r>
          </w:p>
        </w:tc>
        <w:tc>
          <w:tcPr>
            <w:tcW w:w="1227" w:type="dxa"/>
            <w:vAlign w:val="center"/>
          </w:tcPr>
          <w:p w14:paraId="6C4B5BD4">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行政处罚记录</w:t>
            </w:r>
          </w:p>
        </w:tc>
        <w:tc>
          <w:tcPr>
            <w:tcW w:w="1173" w:type="dxa"/>
            <w:vAlign w:val="center"/>
          </w:tcPr>
          <w:p w14:paraId="02D83757">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近三年内无处罚</w:t>
            </w:r>
          </w:p>
        </w:tc>
        <w:tc>
          <w:tcPr>
            <w:tcW w:w="4473" w:type="dxa"/>
            <w:vAlign w:val="center"/>
          </w:tcPr>
          <w:p w14:paraId="7702731D">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信用中国；近三年内无行政处罚得4分，有处罚按严重程度扣分，重大处罚不得分</w:t>
            </w:r>
            <w:r>
              <w:rPr>
                <w:rFonts w:hint="eastAsia" w:ascii="Times New Roman" w:hAnsi="Times New Roman" w:cs="Times New Roman"/>
                <w:b w:val="0"/>
                <w:kern w:val="0"/>
                <w:sz w:val="21"/>
                <w:szCs w:val="21"/>
                <w:lang w:eastAsia="zh-CN"/>
              </w:rPr>
              <w:t>。</w:t>
            </w:r>
          </w:p>
        </w:tc>
        <w:tc>
          <w:tcPr>
            <w:tcW w:w="763" w:type="dxa"/>
            <w:vAlign w:val="center"/>
          </w:tcPr>
          <w:p w14:paraId="614A7452">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4</w:t>
            </w:r>
          </w:p>
        </w:tc>
      </w:tr>
      <w:tr w14:paraId="12373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jc w:val="center"/>
        </w:trPr>
        <w:tc>
          <w:tcPr>
            <w:tcW w:w="1145" w:type="dxa"/>
            <w:vMerge w:val="continue"/>
            <w:vAlign w:val="center"/>
          </w:tcPr>
          <w:p w14:paraId="4974CB3A">
            <w:pPr>
              <w:widowControl/>
              <w:adjustRightInd/>
              <w:spacing w:after="0" w:line="240" w:lineRule="auto"/>
              <w:jc w:val="center"/>
              <w:rPr>
                <w:rFonts w:hint="default" w:ascii="Times New Roman" w:hAnsi="Times New Roman" w:cs="Times New Roman"/>
                <w:kern w:val="0"/>
                <w:sz w:val="21"/>
                <w:szCs w:val="21"/>
                <w:lang w:eastAsia="en-US"/>
              </w:rPr>
            </w:pPr>
          </w:p>
        </w:tc>
        <w:tc>
          <w:tcPr>
            <w:tcW w:w="1074" w:type="dxa"/>
            <w:vMerge w:val="continue"/>
            <w:vAlign w:val="center"/>
          </w:tcPr>
          <w:p w14:paraId="19945D84">
            <w:pPr>
              <w:widowControl/>
              <w:adjustRightInd/>
              <w:spacing w:after="0" w:line="240" w:lineRule="auto"/>
              <w:jc w:val="center"/>
              <w:rPr>
                <w:rFonts w:hint="default" w:ascii="Times New Roman" w:hAnsi="Times New Roman" w:cs="Times New Roman"/>
                <w:kern w:val="0"/>
                <w:sz w:val="21"/>
                <w:szCs w:val="21"/>
                <w:lang w:eastAsia="en-US"/>
              </w:rPr>
            </w:pPr>
          </w:p>
        </w:tc>
        <w:tc>
          <w:tcPr>
            <w:tcW w:w="1227" w:type="dxa"/>
            <w:vAlign w:val="center"/>
          </w:tcPr>
          <w:p w14:paraId="55F7B457">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行政检查记录</w:t>
            </w:r>
          </w:p>
        </w:tc>
        <w:tc>
          <w:tcPr>
            <w:tcW w:w="1173" w:type="dxa"/>
            <w:vAlign w:val="center"/>
          </w:tcPr>
          <w:p w14:paraId="64529D9A">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检查记录良好</w:t>
            </w:r>
          </w:p>
        </w:tc>
        <w:tc>
          <w:tcPr>
            <w:tcW w:w="4473" w:type="dxa"/>
            <w:vAlign w:val="center"/>
          </w:tcPr>
          <w:p w14:paraId="17CBB966">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主管部门；近三年内行政检查记录良好，无重大违规得2分</w:t>
            </w:r>
            <w:r>
              <w:rPr>
                <w:rFonts w:hint="eastAsia" w:ascii="Times New Roman" w:hAnsi="Times New Roman" w:cs="Times New Roman"/>
                <w:b w:val="0"/>
                <w:kern w:val="0"/>
                <w:sz w:val="21"/>
                <w:szCs w:val="21"/>
                <w:lang w:eastAsia="zh-CN"/>
              </w:rPr>
              <w:t>。</w:t>
            </w:r>
          </w:p>
        </w:tc>
        <w:tc>
          <w:tcPr>
            <w:tcW w:w="763" w:type="dxa"/>
            <w:vAlign w:val="center"/>
          </w:tcPr>
          <w:p w14:paraId="73BC222C">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2</w:t>
            </w:r>
          </w:p>
        </w:tc>
      </w:tr>
      <w:tr w14:paraId="5A313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145" w:type="dxa"/>
            <w:vMerge w:val="continue"/>
            <w:vAlign w:val="center"/>
          </w:tcPr>
          <w:p w14:paraId="740372B0">
            <w:pPr>
              <w:widowControl/>
              <w:adjustRightInd/>
              <w:spacing w:after="0" w:line="240" w:lineRule="auto"/>
              <w:jc w:val="center"/>
              <w:rPr>
                <w:rFonts w:hint="default" w:ascii="Times New Roman" w:hAnsi="Times New Roman" w:cs="Times New Roman"/>
                <w:kern w:val="0"/>
                <w:sz w:val="21"/>
                <w:szCs w:val="21"/>
                <w:lang w:eastAsia="en-US"/>
              </w:rPr>
            </w:pPr>
          </w:p>
        </w:tc>
        <w:tc>
          <w:tcPr>
            <w:tcW w:w="1074" w:type="dxa"/>
            <w:vMerge w:val="continue"/>
            <w:vAlign w:val="center"/>
          </w:tcPr>
          <w:p w14:paraId="28223B3A">
            <w:pPr>
              <w:widowControl/>
              <w:adjustRightInd/>
              <w:spacing w:after="0" w:line="240" w:lineRule="auto"/>
              <w:jc w:val="center"/>
              <w:rPr>
                <w:rFonts w:hint="default" w:ascii="Times New Roman" w:hAnsi="Times New Roman" w:cs="Times New Roman"/>
                <w:kern w:val="0"/>
                <w:sz w:val="21"/>
                <w:szCs w:val="21"/>
                <w:lang w:eastAsia="en-US"/>
              </w:rPr>
            </w:pPr>
          </w:p>
        </w:tc>
        <w:tc>
          <w:tcPr>
            <w:tcW w:w="1227" w:type="dxa"/>
            <w:vAlign w:val="center"/>
          </w:tcPr>
          <w:p w14:paraId="17BFFC71">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信用承诺履行</w:t>
            </w:r>
          </w:p>
        </w:tc>
        <w:tc>
          <w:tcPr>
            <w:tcW w:w="1173" w:type="dxa"/>
            <w:vAlign w:val="center"/>
          </w:tcPr>
          <w:p w14:paraId="2E6891AD">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无承诺违约</w:t>
            </w:r>
          </w:p>
        </w:tc>
        <w:tc>
          <w:tcPr>
            <w:tcW w:w="4473" w:type="dxa"/>
            <w:vAlign w:val="center"/>
          </w:tcPr>
          <w:p w14:paraId="1D57A03E">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承诺记录；履行信用承诺，无承诺违约记录得2分</w:t>
            </w:r>
            <w:r>
              <w:rPr>
                <w:rFonts w:hint="eastAsia" w:ascii="Times New Roman" w:hAnsi="Times New Roman" w:cs="Times New Roman"/>
                <w:b w:val="0"/>
                <w:kern w:val="0"/>
                <w:sz w:val="21"/>
                <w:szCs w:val="21"/>
                <w:lang w:eastAsia="zh-CN"/>
              </w:rPr>
              <w:t>。</w:t>
            </w:r>
          </w:p>
        </w:tc>
        <w:tc>
          <w:tcPr>
            <w:tcW w:w="763" w:type="dxa"/>
            <w:vAlign w:val="center"/>
          </w:tcPr>
          <w:p w14:paraId="70E2198A">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2</w:t>
            </w:r>
          </w:p>
        </w:tc>
      </w:tr>
      <w:tr w14:paraId="6EFFF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1145" w:type="dxa"/>
            <w:vMerge w:val="continue"/>
            <w:vAlign w:val="center"/>
          </w:tcPr>
          <w:p w14:paraId="7C448482">
            <w:pPr>
              <w:widowControl/>
              <w:adjustRightInd/>
              <w:spacing w:after="0" w:line="240" w:lineRule="auto"/>
              <w:jc w:val="center"/>
              <w:rPr>
                <w:rFonts w:hint="default" w:ascii="Times New Roman" w:hAnsi="Times New Roman" w:cs="Times New Roman"/>
                <w:kern w:val="0"/>
                <w:sz w:val="21"/>
                <w:szCs w:val="21"/>
                <w:lang w:eastAsia="en-US"/>
              </w:rPr>
            </w:pPr>
          </w:p>
        </w:tc>
        <w:tc>
          <w:tcPr>
            <w:tcW w:w="1074" w:type="dxa"/>
            <w:vMerge w:val="restart"/>
            <w:vAlign w:val="center"/>
          </w:tcPr>
          <w:p w14:paraId="1CC416E1">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司法信用状态（4分）</w:t>
            </w:r>
          </w:p>
        </w:tc>
        <w:tc>
          <w:tcPr>
            <w:tcW w:w="1227" w:type="dxa"/>
            <w:vAlign w:val="center"/>
          </w:tcPr>
          <w:p w14:paraId="69F0EC06">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司法裁判</w:t>
            </w:r>
          </w:p>
        </w:tc>
        <w:tc>
          <w:tcPr>
            <w:tcW w:w="1173" w:type="dxa"/>
            <w:vAlign w:val="center"/>
          </w:tcPr>
          <w:p w14:paraId="4C6ADF0C">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无重大司法失信</w:t>
            </w:r>
          </w:p>
        </w:tc>
        <w:tc>
          <w:tcPr>
            <w:tcW w:w="4473" w:type="dxa"/>
            <w:vAlign w:val="center"/>
          </w:tcPr>
          <w:p w14:paraId="073C5584">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裁判文书网；无重大司法失信记录得2分</w:t>
            </w:r>
            <w:r>
              <w:rPr>
                <w:rFonts w:hint="eastAsia" w:ascii="Times New Roman" w:hAnsi="Times New Roman" w:cs="Times New Roman"/>
                <w:b w:val="0"/>
                <w:kern w:val="0"/>
                <w:sz w:val="21"/>
                <w:szCs w:val="21"/>
                <w:lang w:eastAsia="zh-CN"/>
              </w:rPr>
              <w:t>。</w:t>
            </w:r>
          </w:p>
        </w:tc>
        <w:tc>
          <w:tcPr>
            <w:tcW w:w="763" w:type="dxa"/>
            <w:vAlign w:val="center"/>
          </w:tcPr>
          <w:p w14:paraId="50B024B4">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2</w:t>
            </w:r>
          </w:p>
        </w:tc>
      </w:tr>
      <w:tr w14:paraId="70AA0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1145" w:type="dxa"/>
            <w:vMerge w:val="continue"/>
            <w:vAlign w:val="center"/>
          </w:tcPr>
          <w:p w14:paraId="2BBDDBE5">
            <w:pPr>
              <w:widowControl/>
              <w:adjustRightInd/>
              <w:spacing w:after="0" w:line="240" w:lineRule="auto"/>
              <w:jc w:val="center"/>
              <w:rPr>
                <w:rFonts w:hint="default" w:ascii="Times New Roman" w:hAnsi="Times New Roman" w:cs="Times New Roman"/>
                <w:kern w:val="0"/>
                <w:sz w:val="21"/>
                <w:szCs w:val="21"/>
                <w:lang w:eastAsia="en-US"/>
              </w:rPr>
            </w:pPr>
          </w:p>
        </w:tc>
        <w:tc>
          <w:tcPr>
            <w:tcW w:w="1074" w:type="dxa"/>
            <w:vMerge w:val="continue"/>
            <w:vAlign w:val="center"/>
          </w:tcPr>
          <w:p w14:paraId="43AF95E1">
            <w:pPr>
              <w:widowControl/>
              <w:adjustRightInd/>
              <w:spacing w:after="0" w:line="240" w:lineRule="auto"/>
              <w:jc w:val="center"/>
              <w:rPr>
                <w:rFonts w:hint="default" w:ascii="Times New Roman" w:hAnsi="Times New Roman" w:cs="Times New Roman"/>
                <w:kern w:val="0"/>
                <w:sz w:val="21"/>
                <w:szCs w:val="21"/>
                <w:lang w:eastAsia="en-US"/>
              </w:rPr>
            </w:pPr>
          </w:p>
        </w:tc>
        <w:tc>
          <w:tcPr>
            <w:tcW w:w="1227" w:type="dxa"/>
            <w:vAlign w:val="center"/>
          </w:tcPr>
          <w:p w14:paraId="60712571">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执行信息</w:t>
            </w:r>
          </w:p>
        </w:tc>
        <w:tc>
          <w:tcPr>
            <w:tcW w:w="1173" w:type="dxa"/>
            <w:vAlign w:val="center"/>
          </w:tcPr>
          <w:p w14:paraId="0F45BAE1">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非失信被执行人</w:t>
            </w:r>
          </w:p>
        </w:tc>
        <w:tc>
          <w:tcPr>
            <w:tcW w:w="4473" w:type="dxa"/>
            <w:vAlign w:val="center"/>
          </w:tcPr>
          <w:p w14:paraId="17B8D086">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执行信息公开网；未被列入失信被执行人名单，无未履行执行案件得2分</w:t>
            </w:r>
            <w:r>
              <w:rPr>
                <w:rFonts w:hint="eastAsia" w:ascii="Times New Roman" w:hAnsi="Times New Roman" w:cs="Times New Roman"/>
                <w:b w:val="0"/>
                <w:kern w:val="0"/>
                <w:sz w:val="21"/>
                <w:szCs w:val="21"/>
                <w:lang w:eastAsia="zh-CN"/>
              </w:rPr>
              <w:t>。</w:t>
            </w:r>
          </w:p>
        </w:tc>
        <w:tc>
          <w:tcPr>
            <w:tcW w:w="763" w:type="dxa"/>
            <w:vAlign w:val="center"/>
          </w:tcPr>
          <w:p w14:paraId="51E0DAA6">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2</w:t>
            </w:r>
          </w:p>
        </w:tc>
      </w:tr>
      <w:tr w14:paraId="2971E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145" w:type="dxa"/>
            <w:vMerge w:val="continue"/>
            <w:vAlign w:val="center"/>
          </w:tcPr>
          <w:p w14:paraId="56C444F0">
            <w:pPr>
              <w:widowControl/>
              <w:adjustRightInd/>
              <w:spacing w:after="0" w:line="240" w:lineRule="auto"/>
              <w:jc w:val="center"/>
              <w:rPr>
                <w:rFonts w:hint="default" w:ascii="Times New Roman" w:hAnsi="Times New Roman" w:cs="Times New Roman"/>
                <w:kern w:val="0"/>
                <w:sz w:val="21"/>
                <w:szCs w:val="21"/>
                <w:lang w:eastAsia="en-US"/>
              </w:rPr>
            </w:pPr>
          </w:p>
        </w:tc>
        <w:tc>
          <w:tcPr>
            <w:tcW w:w="1074" w:type="dxa"/>
            <w:vAlign w:val="center"/>
          </w:tcPr>
          <w:p w14:paraId="4B5EE092">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纳税信用（4分）</w:t>
            </w:r>
          </w:p>
        </w:tc>
        <w:tc>
          <w:tcPr>
            <w:tcW w:w="1227" w:type="dxa"/>
            <w:vAlign w:val="center"/>
          </w:tcPr>
          <w:p w14:paraId="317A7319">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纳税信用等级</w:t>
            </w:r>
          </w:p>
        </w:tc>
        <w:tc>
          <w:tcPr>
            <w:tcW w:w="1173" w:type="dxa"/>
            <w:vAlign w:val="center"/>
          </w:tcPr>
          <w:p w14:paraId="40641D21">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A/B/C/D级</w:t>
            </w:r>
          </w:p>
        </w:tc>
        <w:tc>
          <w:tcPr>
            <w:tcW w:w="4473" w:type="dxa"/>
            <w:vAlign w:val="center"/>
          </w:tcPr>
          <w:p w14:paraId="6B286A32">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税务证明；A级得4分，B级得3分，C级得1分，D级不得分</w:t>
            </w:r>
            <w:r>
              <w:rPr>
                <w:rFonts w:hint="eastAsia" w:ascii="Times New Roman" w:hAnsi="Times New Roman" w:cs="Times New Roman"/>
                <w:b w:val="0"/>
                <w:kern w:val="0"/>
                <w:sz w:val="21"/>
                <w:szCs w:val="21"/>
                <w:lang w:eastAsia="zh-CN"/>
              </w:rPr>
              <w:t>。</w:t>
            </w:r>
          </w:p>
        </w:tc>
        <w:tc>
          <w:tcPr>
            <w:tcW w:w="763" w:type="dxa"/>
            <w:vAlign w:val="center"/>
          </w:tcPr>
          <w:p w14:paraId="1CF4DE22">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4</w:t>
            </w:r>
          </w:p>
        </w:tc>
      </w:tr>
      <w:tr w14:paraId="0D2C9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jc w:val="center"/>
        </w:trPr>
        <w:tc>
          <w:tcPr>
            <w:tcW w:w="1145" w:type="dxa"/>
            <w:vMerge w:val="continue"/>
            <w:vAlign w:val="center"/>
          </w:tcPr>
          <w:p w14:paraId="56D17F06">
            <w:pPr>
              <w:widowControl/>
              <w:adjustRightInd/>
              <w:spacing w:after="0" w:line="240" w:lineRule="auto"/>
              <w:jc w:val="center"/>
              <w:rPr>
                <w:rFonts w:hint="default" w:ascii="Times New Roman" w:hAnsi="Times New Roman" w:cs="Times New Roman"/>
                <w:kern w:val="0"/>
                <w:sz w:val="21"/>
                <w:szCs w:val="21"/>
                <w:lang w:eastAsia="en-US"/>
              </w:rPr>
            </w:pPr>
          </w:p>
        </w:tc>
        <w:tc>
          <w:tcPr>
            <w:tcW w:w="1074" w:type="dxa"/>
            <w:vMerge w:val="restart"/>
            <w:vAlign w:val="center"/>
          </w:tcPr>
          <w:p w14:paraId="1C73F278">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社会荣誉与舆情（4分）</w:t>
            </w:r>
          </w:p>
        </w:tc>
        <w:tc>
          <w:tcPr>
            <w:tcW w:w="1227" w:type="dxa"/>
            <w:vAlign w:val="center"/>
          </w:tcPr>
          <w:p w14:paraId="660FE451">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荣誉表彰</w:t>
            </w:r>
          </w:p>
        </w:tc>
        <w:tc>
          <w:tcPr>
            <w:tcW w:w="1173" w:type="dxa"/>
            <w:vAlign w:val="center"/>
          </w:tcPr>
          <w:p w14:paraId="60FC9922">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获得各级荣誉</w:t>
            </w:r>
          </w:p>
        </w:tc>
        <w:tc>
          <w:tcPr>
            <w:tcW w:w="4473" w:type="dxa"/>
            <w:vAlign w:val="center"/>
          </w:tcPr>
          <w:p w14:paraId="44C94B54">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荣誉证书；获得省部级以上荣誉得2分，市县级得1分</w:t>
            </w:r>
            <w:r>
              <w:rPr>
                <w:rFonts w:hint="eastAsia" w:ascii="Times New Roman" w:hAnsi="Times New Roman" w:cs="Times New Roman"/>
                <w:b w:val="0"/>
                <w:kern w:val="0"/>
                <w:sz w:val="21"/>
                <w:szCs w:val="21"/>
                <w:lang w:eastAsia="zh-CN"/>
              </w:rPr>
              <w:t>。</w:t>
            </w:r>
          </w:p>
        </w:tc>
        <w:tc>
          <w:tcPr>
            <w:tcW w:w="763" w:type="dxa"/>
            <w:vAlign w:val="center"/>
          </w:tcPr>
          <w:p w14:paraId="41A3AD45">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2</w:t>
            </w:r>
          </w:p>
        </w:tc>
      </w:tr>
      <w:tr w14:paraId="77348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1145" w:type="dxa"/>
            <w:vMerge w:val="continue"/>
            <w:vAlign w:val="center"/>
          </w:tcPr>
          <w:p w14:paraId="6C8FF8CC">
            <w:pPr>
              <w:widowControl/>
              <w:adjustRightInd/>
              <w:spacing w:after="0" w:line="240" w:lineRule="auto"/>
              <w:jc w:val="center"/>
              <w:rPr>
                <w:rFonts w:hint="default" w:ascii="Times New Roman" w:hAnsi="Times New Roman" w:cs="Times New Roman"/>
                <w:kern w:val="0"/>
                <w:sz w:val="21"/>
                <w:szCs w:val="21"/>
                <w:lang w:eastAsia="en-US"/>
              </w:rPr>
            </w:pPr>
          </w:p>
        </w:tc>
        <w:tc>
          <w:tcPr>
            <w:tcW w:w="1074" w:type="dxa"/>
            <w:vMerge w:val="continue"/>
            <w:vAlign w:val="center"/>
          </w:tcPr>
          <w:p w14:paraId="7FD20AA3">
            <w:pPr>
              <w:widowControl/>
              <w:adjustRightInd/>
              <w:spacing w:after="0" w:line="240" w:lineRule="auto"/>
              <w:jc w:val="center"/>
              <w:rPr>
                <w:rFonts w:hint="default" w:ascii="Times New Roman" w:hAnsi="Times New Roman" w:cs="Times New Roman"/>
                <w:kern w:val="0"/>
                <w:sz w:val="21"/>
                <w:szCs w:val="21"/>
                <w:lang w:eastAsia="en-US"/>
              </w:rPr>
            </w:pPr>
          </w:p>
        </w:tc>
        <w:tc>
          <w:tcPr>
            <w:tcW w:w="1227" w:type="dxa"/>
            <w:vAlign w:val="center"/>
          </w:tcPr>
          <w:p w14:paraId="70929867">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舆情监测</w:t>
            </w:r>
          </w:p>
        </w:tc>
        <w:tc>
          <w:tcPr>
            <w:tcW w:w="1173" w:type="dxa"/>
            <w:vAlign w:val="center"/>
          </w:tcPr>
          <w:p w14:paraId="06707321">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无重大负面舆情</w:t>
            </w:r>
          </w:p>
        </w:tc>
        <w:tc>
          <w:tcPr>
            <w:tcW w:w="4473" w:type="dxa"/>
            <w:vAlign w:val="center"/>
          </w:tcPr>
          <w:p w14:paraId="586E149A">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舆情报告；近三年内无重大负面舆情，或负面舆情处置及时有效得2分</w:t>
            </w:r>
            <w:r>
              <w:rPr>
                <w:rFonts w:hint="eastAsia" w:ascii="Times New Roman" w:hAnsi="Times New Roman" w:cs="Times New Roman"/>
                <w:b w:val="0"/>
                <w:kern w:val="0"/>
                <w:sz w:val="21"/>
                <w:szCs w:val="21"/>
                <w:lang w:eastAsia="zh-CN"/>
              </w:rPr>
              <w:t>。</w:t>
            </w:r>
          </w:p>
        </w:tc>
        <w:tc>
          <w:tcPr>
            <w:tcW w:w="763" w:type="dxa"/>
            <w:vAlign w:val="center"/>
          </w:tcPr>
          <w:p w14:paraId="6B184849">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2</w:t>
            </w:r>
          </w:p>
        </w:tc>
      </w:tr>
      <w:tr w14:paraId="39D45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4" w:hRule="atLeast"/>
          <w:jc w:val="center"/>
        </w:trPr>
        <w:tc>
          <w:tcPr>
            <w:tcW w:w="1145" w:type="dxa"/>
            <w:vMerge w:val="restart"/>
            <w:vAlign w:val="center"/>
          </w:tcPr>
          <w:p w14:paraId="6C239A9F">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ESG责任（10分）</w:t>
            </w:r>
          </w:p>
        </w:tc>
        <w:tc>
          <w:tcPr>
            <w:tcW w:w="1074" w:type="dxa"/>
            <w:vMerge w:val="restart"/>
            <w:vAlign w:val="center"/>
          </w:tcPr>
          <w:p w14:paraId="60AC782B">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环境责任（3分）</w:t>
            </w:r>
          </w:p>
        </w:tc>
        <w:tc>
          <w:tcPr>
            <w:tcW w:w="1227" w:type="dxa"/>
            <w:vAlign w:val="center"/>
          </w:tcPr>
          <w:p w14:paraId="3718092A">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绿色运营</w:t>
            </w:r>
          </w:p>
        </w:tc>
        <w:tc>
          <w:tcPr>
            <w:tcW w:w="1173" w:type="dxa"/>
            <w:vAlign w:val="center"/>
          </w:tcPr>
          <w:p w14:paraId="2C4B4EED">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电子化、无纸化、节能措施</w:t>
            </w:r>
          </w:p>
        </w:tc>
        <w:tc>
          <w:tcPr>
            <w:tcW w:w="4473" w:type="dxa"/>
            <w:vAlign w:val="center"/>
          </w:tcPr>
          <w:p w14:paraId="51BC768D">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现场查验；采用电子化拍卖文件、无纸化办公、节能设备等绿色运营措施得1分</w:t>
            </w:r>
            <w:r>
              <w:rPr>
                <w:rFonts w:hint="eastAsia" w:ascii="Times New Roman" w:hAnsi="Times New Roman" w:cs="Times New Roman"/>
                <w:b w:val="0"/>
                <w:kern w:val="0"/>
                <w:sz w:val="21"/>
                <w:szCs w:val="21"/>
                <w:lang w:eastAsia="zh-CN"/>
              </w:rPr>
              <w:t>。</w:t>
            </w:r>
          </w:p>
        </w:tc>
        <w:tc>
          <w:tcPr>
            <w:tcW w:w="763" w:type="dxa"/>
            <w:vAlign w:val="center"/>
          </w:tcPr>
          <w:p w14:paraId="45758B79">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1</w:t>
            </w:r>
          </w:p>
        </w:tc>
      </w:tr>
      <w:tr w14:paraId="6C6CA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jc w:val="center"/>
        </w:trPr>
        <w:tc>
          <w:tcPr>
            <w:tcW w:w="1145" w:type="dxa"/>
            <w:vMerge w:val="continue"/>
            <w:vAlign w:val="center"/>
          </w:tcPr>
          <w:p w14:paraId="51D8B2FB">
            <w:pPr>
              <w:widowControl/>
              <w:adjustRightInd/>
              <w:spacing w:after="0" w:line="240" w:lineRule="auto"/>
              <w:jc w:val="center"/>
              <w:rPr>
                <w:rFonts w:hint="default" w:ascii="Times New Roman" w:hAnsi="Times New Roman" w:cs="Times New Roman"/>
                <w:kern w:val="0"/>
                <w:sz w:val="21"/>
                <w:szCs w:val="21"/>
                <w:lang w:eastAsia="en-US"/>
              </w:rPr>
            </w:pPr>
          </w:p>
        </w:tc>
        <w:tc>
          <w:tcPr>
            <w:tcW w:w="1074" w:type="dxa"/>
            <w:vMerge w:val="continue"/>
            <w:vAlign w:val="center"/>
          </w:tcPr>
          <w:p w14:paraId="48D41B1D">
            <w:pPr>
              <w:widowControl/>
              <w:adjustRightInd/>
              <w:spacing w:after="0" w:line="240" w:lineRule="auto"/>
              <w:jc w:val="center"/>
              <w:rPr>
                <w:rFonts w:hint="default" w:ascii="Times New Roman" w:hAnsi="Times New Roman" w:cs="Times New Roman"/>
                <w:kern w:val="0"/>
                <w:sz w:val="21"/>
                <w:szCs w:val="21"/>
                <w:lang w:eastAsia="en-US"/>
              </w:rPr>
            </w:pPr>
          </w:p>
        </w:tc>
        <w:tc>
          <w:tcPr>
            <w:tcW w:w="1227" w:type="dxa"/>
            <w:vAlign w:val="center"/>
          </w:tcPr>
          <w:p w14:paraId="10DD8C8E">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环境合规</w:t>
            </w:r>
          </w:p>
        </w:tc>
        <w:tc>
          <w:tcPr>
            <w:tcW w:w="1173" w:type="dxa"/>
            <w:vAlign w:val="center"/>
          </w:tcPr>
          <w:p w14:paraId="0B8E82F9">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无环境处罚，排放达标</w:t>
            </w:r>
          </w:p>
        </w:tc>
        <w:tc>
          <w:tcPr>
            <w:tcW w:w="4473" w:type="dxa"/>
            <w:vAlign w:val="center"/>
          </w:tcPr>
          <w:p w14:paraId="3E38042F">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环保记录；近三年内无环境行政处罚，污染物排放达标得1分</w:t>
            </w:r>
            <w:r>
              <w:rPr>
                <w:rFonts w:hint="eastAsia" w:ascii="Times New Roman" w:hAnsi="Times New Roman" w:cs="Times New Roman"/>
                <w:b w:val="0"/>
                <w:kern w:val="0"/>
                <w:sz w:val="21"/>
                <w:szCs w:val="21"/>
                <w:lang w:eastAsia="zh-CN"/>
              </w:rPr>
              <w:t>。</w:t>
            </w:r>
          </w:p>
        </w:tc>
        <w:tc>
          <w:tcPr>
            <w:tcW w:w="763" w:type="dxa"/>
            <w:vAlign w:val="center"/>
          </w:tcPr>
          <w:p w14:paraId="4381CC83">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1</w:t>
            </w:r>
          </w:p>
        </w:tc>
      </w:tr>
      <w:tr w14:paraId="20CB9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1145" w:type="dxa"/>
            <w:vMerge w:val="continue"/>
            <w:vAlign w:val="center"/>
          </w:tcPr>
          <w:p w14:paraId="7554FE70">
            <w:pPr>
              <w:widowControl/>
              <w:adjustRightInd/>
              <w:spacing w:after="0" w:line="240" w:lineRule="auto"/>
              <w:jc w:val="center"/>
              <w:rPr>
                <w:rFonts w:hint="default" w:ascii="Times New Roman" w:hAnsi="Times New Roman" w:cs="Times New Roman"/>
                <w:kern w:val="0"/>
                <w:sz w:val="21"/>
                <w:szCs w:val="21"/>
                <w:lang w:eastAsia="en-US"/>
              </w:rPr>
            </w:pPr>
          </w:p>
        </w:tc>
        <w:tc>
          <w:tcPr>
            <w:tcW w:w="1074" w:type="dxa"/>
            <w:vMerge w:val="continue"/>
            <w:vAlign w:val="center"/>
          </w:tcPr>
          <w:p w14:paraId="7E98D7A8">
            <w:pPr>
              <w:widowControl/>
              <w:adjustRightInd/>
              <w:spacing w:after="0" w:line="240" w:lineRule="auto"/>
              <w:jc w:val="center"/>
              <w:rPr>
                <w:rFonts w:hint="default" w:ascii="Times New Roman" w:hAnsi="Times New Roman" w:cs="Times New Roman"/>
                <w:kern w:val="0"/>
                <w:sz w:val="21"/>
                <w:szCs w:val="21"/>
                <w:lang w:eastAsia="en-US"/>
              </w:rPr>
            </w:pPr>
          </w:p>
        </w:tc>
        <w:tc>
          <w:tcPr>
            <w:tcW w:w="1227" w:type="dxa"/>
            <w:vAlign w:val="center"/>
          </w:tcPr>
          <w:p w14:paraId="40EDF9E3">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碳排放管理</w:t>
            </w:r>
          </w:p>
        </w:tc>
        <w:tc>
          <w:tcPr>
            <w:tcW w:w="1173" w:type="dxa"/>
            <w:vAlign w:val="center"/>
          </w:tcPr>
          <w:p w14:paraId="082B8771">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建立碳排放</w:t>
            </w:r>
            <w:r>
              <w:rPr>
                <w:rFonts w:hint="eastAsia" w:ascii="Times New Roman" w:hAnsi="Times New Roman" w:cs="Times New Roman"/>
                <w:b w:val="0"/>
                <w:kern w:val="0"/>
                <w:sz w:val="21"/>
                <w:szCs w:val="21"/>
                <w:lang w:val="en-US" w:eastAsia="zh-CN"/>
              </w:rPr>
              <w:t>统计</w:t>
            </w:r>
            <w:r>
              <w:rPr>
                <w:rFonts w:hint="default" w:ascii="Times New Roman" w:hAnsi="Times New Roman" w:eastAsia="宋体" w:cs="Times New Roman"/>
                <w:b w:val="0"/>
                <w:kern w:val="0"/>
                <w:sz w:val="21"/>
                <w:szCs w:val="21"/>
                <w:lang w:eastAsia="en-US"/>
              </w:rPr>
              <w:t>核算制度</w:t>
            </w:r>
          </w:p>
        </w:tc>
        <w:tc>
          <w:tcPr>
            <w:tcW w:w="4473" w:type="dxa"/>
            <w:vAlign w:val="center"/>
          </w:tcPr>
          <w:p w14:paraId="38AD0B00">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制度文件；建立碳排放</w:t>
            </w:r>
            <w:r>
              <w:rPr>
                <w:rFonts w:hint="eastAsia" w:ascii="Times New Roman" w:hAnsi="Times New Roman" w:cs="Times New Roman"/>
                <w:b w:val="0"/>
                <w:kern w:val="0"/>
                <w:sz w:val="21"/>
                <w:szCs w:val="21"/>
                <w:lang w:val="en-US" w:eastAsia="zh-CN"/>
              </w:rPr>
              <w:t>统计</w:t>
            </w:r>
            <w:r>
              <w:rPr>
                <w:rFonts w:hint="default" w:ascii="Times New Roman" w:hAnsi="Times New Roman" w:eastAsia="宋体" w:cs="Times New Roman"/>
                <w:b w:val="0"/>
                <w:kern w:val="0"/>
                <w:sz w:val="21"/>
                <w:szCs w:val="21"/>
                <w:lang w:eastAsia="en-US"/>
              </w:rPr>
              <w:t>核算制度，参与碳中和行动得1分</w:t>
            </w:r>
            <w:r>
              <w:rPr>
                <w:rFonts w:hint="eastAsia" w:ascii="Times New Roman" w:hAnsi="Times New Roman" w:cs="Times New Roman"/>
                <w:b w:val="0"/>
                <w:kern w:val="0"/>
                <w:sz w:val="21"/>
                <w:szCs w:val="21"/>
                <w:lang w:eastAsia="zh-CN"/>
              </w:rPr>
              <w:t>。</w:t>
            </w:r>
          </w:p>
        </w:tc>
        <w:tc>
          <w:tcPr>
            <w:tcW w:w="763" w:type="dxa"/>
            <w:vAlign w:val="center"/>
          </w:tcPr>
          <w:p w14:paraId="6EADE550">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1</w:t>
            </w:r>
          </w:p>
        </w:tc>
      </w:tr>
      <w:tr w14:paraId="75E95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7" w:hRule="atLeast"/>
          <w:jc w:val="center"/>
        </w:trPr>
        <w:tc>
          <w:tcPr>
            <w:tcW w:w="1145" w:type="dxa"/>
            <w:vMerge w:val="continue"/>
            <w:vAlign w:val="center"/>
          </w:tcPr>
          <w:p w14:paraId="11E31FF8">
            <w:pPr>
              <w:widowControl/>
              <w:adjustRightInd/>
              <w:spacing w:after="0" w:line="240" w:lineRule="auto"/>
              <w:jc w:val="center"/>
              <w:rPr>
                <w:rFonts w:hint="default" w:ascii="Times New Roman" w:hAnsi="Times New Roman" w:cs="Times New Roman"/>
                <w:kern w:val="0"/>
                <w:sz w:val="21"/>
                <w:szCs w:val="21"/>
                <w:lang w:eastAsia="en-US"/>
              </w:rPr>
            </w:pPr>
          </w:p>
        </w:tc>
        <w:tc>
          <w:tcPr>
            <w:tcW w:w="1074" w:type="dxa"/>
            <w:vAlign w:val="center"/>
          </w:tcPr>
          <w:p w14:paraId="6612B6A3">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社会责任（4分）</w:t>
            </w:r>
          </w:p>
        </w:tc>
        <w:tc>
          <w:tcPr>
            <w:tcW w:w="1227" w:type="dxa"/>
            <w:vAlign w:val="center"/>
          </w:tcPr>
          <w:p w14:paraId="2E65F438">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员工权益保障</w:t>
            </w:r>
          </w:p>
        </w:tc>
        <w:tc>
          <w:tcPr>
            <w:tcW w:w="1173" w:type="dxa"/>
            <w:vAlign w:val="center"/>
          </w:tcPr>
          <w:p w14:paraId="2B9ABFE5">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合同、社保、培训体系</w:t>
            </w:r>
          </w:p>
        </w:tc>
        <w:tc>
          <w:tcPr>
            <w:tcW w:w="4473" w:type="dxa"/>
            <w:vAlign w:val="center"/>
          </w:tcPr>
          <w:p w14:paraId="2CF13ECB">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社保记录；依法签订劳动合同，足额缴纳社保，无恶意拖欠工资，建立职业培训体系得2分</w:t>
            </w:r>
            <w:r>
              <w:rPr>
                <w:rFonts w:hint="eastAsia" w:ascii="Times New Roman" w:hAnsi="Times New Roman" w:cs="Times New Roman"/>
                <w:b w:val="0"/>
                <w:kern w:val="0"/>
                <w:sz w:val="21"/>
                <w:szCs w:val="21"/>
                <w:lang w:eastAsia="zh-CN"/>
              </w:rPr>
              <w:t>。</w:t>
            </w:r>
          </w:p>
        </w:tc>
        <w:tc>
          <w:tcPr>
            <w:tcW w:w="763" w:type="dxa"/>
            <w:vAlign w:val="center"/>
          </w:tcPr>
          <w:p w14:paraId="47A74891">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2</w:t>
            </w:r>
          </w:p>
        </w:tc>
      </w:tr>
    </w:tbl>
    <w:p w14:paraId="38795525">
      <w:pPr>
        <w:pStyle w:val="88"/>
        <w:numPr>
          <w:ilvl w:val="1"/>
          <w:numId w:val="0"/>
        </w:numPr>
        <w:bidi w:val="0"/>
        <w:ind w:leftChars="0"/>
        <w:jc w:val="both"/>
        <w:rPr>
          <w:rFonts w:hint="eastAsia" w:eastAsia="宋体"/>
          <w:lang w:eastAsia="zh-CN"/>
        </w:rPr>
      </w:pPr>
    </w:p>
    <w:p w14:paraId="51798DD0">
      <w:pPr>
        <w:pStyle w:val="88"/>
        <w:numPr>
          <w:ilvl w:val="1"/>
          <w:numId w:val="0"/>
        </w:numPr>
        <w:bidi w:val="0"/>
        <w:ind w:leftChars="0"/>
        <w:jc w:val="both"/>
        <w:rPr>
          <w:rFonts w:hint="eastAsia" w:eastAsia="宋体"/>
          <w:lang w:eastAsia="zh-CN"/>
        </w:rPr>
      </w:pPr>
    </w:p>
    <w:p w14:paraId="307D104C">
      <w:pPr>
        <w:pStyle w:val="88"/>
        <w:numPr>
          <w:ilvl w:val="1"/>
          <w:numId w:val="34"/>
        </w:numPr>
        <w:bidi w:val="0"/>
        <w:rPr>
          <w:rFonts w:hint="eastAsia" w:eastAsia="宋体"/>
          <w:lang w:eastAsia="zh-CN"/>
        </w:rPr>
      </w:pPr>
      <w:r>
        <w:rPr>
          <w:rFonts w:hint="eastAsia"/>
        </w:rPr>
        <w:t>拍卖企业信用评价表</w:t>
      </w:r>
      <w:r>
        <w:rPr>
          <w:rFonts w:hint="eastAsia"/>
          <w:lang w:eastAsia="zh-CN"/>
        </w:rPr>
        <w:t>（</w:t>
      </w:r>
      <w:r>
        <w:rPr>
          <w:rFonts w:hint="eastAsia"/>
          <w:lang w:val="en-US" w:eastAsia="zh-CN"/>
        </w:rPr>
        <w:t>续</w:t>
      </w:r>
      <w:r>
        <w:rPr>
          <w:rFonts w:hint="eastAsia"/>
          <w:lang w:eastAsia="zh-CN"/>
        </w:rPr>
        <w:t>）</w:t>
      </w:r>
    </w:p>
    <w:tbl>
      <w:tblPr>
        <w:tblStyle w:val="27"/>
        <w:tblW w:w="9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5"/>
        <w:gridCol w:w="1083"/>
        <w:gridCol w:w="1262"/>
        <w:gridCol w:w="1192"/>
        <w:gridCol w:w="4399"/>
        <w:gridCol w:w="791"/>
      </w:tblGrid>
      <w:tr w14:paraId="51631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1205" w:type="dxa"/>
            <w:vAlign w:val="center"/>
          </w:tcPr>
          <w:p w14:paraId="7B089B53">
            <w:pPr>
              <w:widowControl/>
              <w:adjustRightInd/>
              <w:spacing w:after="0" w:line="240" w:lineRule="auto"/>
              <w:jc w:val="center"/>
              <w:rPr>
                <w:rFonts w:hint="eastAsia" w:ascii="Times New Roman" w:hAnsi="Times New Roman" w:eastAsia="宋体" w:cs="Times New Roman"/>
                <w:b/>
                <w:bCs/>
                <w:kern w:val="0"/>
                <w:sz w:val="21"/>
                <w:szCs w:val="21"/>
                <w:lang w:val="en-US" w:eastAsia="zh-CN"/>
              </w:rPr>
            </w:pPr>
            <w:r>
              <w:rPr>
                <w:rFonts w:hint="eastAsia" w:ascii="Times New Roman" w:hAnsi="Times New Roman" w:cs="Times New Roman"/>
                <w:b/>
                <w:bCs/>
                <w:kern w:val="0"/>
                <w:sz w:val="21"/>
                <w:szCs w:val="21"/>
                <w:lang w:val="en-US" w:eastAsia="zh-CN"/>
              </w:rPr>
              <w:t>一级指标</w:t>
            </w:r>
          </w:p>
        </w:tc>
        <w:tc>
          <w:tcPr>
            <w:tcW w:w="1083" w:type="dxa"/>
            <w:vAlign w:val="center"/>
          </w:tcPr>
          <w:p w14:paraId="66BDA688">
            <w:pPr>
              <w:widowControl/>
              <w:adjustRightInd/>
              <w:spacing w:after="0" w:line="240" w:lineRule="auto"/>
              <w:jc w:val="center"/>
              <w:rPr>
                <w:rFonts w:hint="eastAsia" w:ascii="Times New Roman" w:hAnsi="Times New Roman" w:eastAsia="宋体" w:cs="Times New Roman"/>
                <w:b/>
                <w:bCs/>
                <w:kern w:val="0"/>
                <w:sz w:val="21"/>
                <w:szCs w:val="21"/>
                <w:lang w:val="en-US" w:eastAsia="zh-CN"/>
              </w:rPr>
            </w:pPr>
            <w:r>
              <w:rPr>
                <w:rFonts w:hint="eastAsia" w:ascii="Times New Roman" w:hAnsi="Times New Roman" w:cs="Times New Roman"/>
                <w:b/>
                <w:bCs/>
                <w:kern w:val="0"/>
                <w:sz w:val="21"/>
                <w:szCs w:val="21"/>
                <w:lang w:val="en-US" w:eastAsia="zh-CN"/>
              </w:rPr>
              <w:t>二级指标</w:t>
            </w:r>
          </w:p>
        </w:tc>
        <w:tc>
          <w:tcPr>
            <w:tcW w:w="1262" w:type="dxa"/>
            <w:vAlign w:val="center"/>
          </w:tcPr>
          <w:p w14:paraId="6981B428">
            <w:pPr>
              <w:widowControl/>
              <w:adjustRightInd/>
              <w:spacing w:after="0" w:line="240" w:lineRule="auto"/>
              <w:jc w:val="center"/>
              <w:rPr>
                <w:rFonts w:hint="eastAsia" w:ascii="Times New Roman" w:hAnsi="Times New Roman" w:eastAsia="宋体" w:cs="Times New Roman"/>
                <w:b/>
                <w:bCs/>
                <w:kern w:val="0"/>
                <w:sz w:val="21"/>
                <w:szCs w:val="21"/>
                <w:lang w:val="en-US" w:eastAsia="zh-CN"/>
              </w:rPr>
            </w:pPr>
            <w:r>
              <w:rPr>
                <w:rFonts w:hint="eastAsia" w:ascii="Times New Roman" w:hAnsi="Times New Roman" w:cs="Times New Roman"/>
                <w:b/>
                <w:bCs/>
                <w:kern w:val="0"/>
                <w:sz w:val="21"/>
                <w:szCs w:val="21"/>
                <w:lang w:val="en-US" w:eastAsia="zh-CN"/>
              </w:rPr>
              <w:t>三级指标</w:t>
            </w:r>
          </w:p>
        </w:tc>
        <w:tc>
          <w:tcPr>
            <w:tcW w:w="1192" w:type="dxa"/>
            <w:vAlign w:val="center"/>
          </w:tcPr>
          <w:p w14:paraId="2659DD2A">
            <w:pPr>
              <w:widowControl/>
              <w:adjustRightInd/>
              <w:spacing w:after="0" w:line="240" w:lineRule="auto"/>
              <w:jc w:val="center"/>
              <w:rPr>
                <w:rFonts w:hint="eastAsia" w:ascii="Times New Roman" w:hAnsi="Times New Roman" w:eastAsia="宋体" w:cs="Times New Roman"/>
                <w:b/>
                <w:bCs/>
                <w:kern w:val="0"/>
                <w:sz w:val="21"/>
                <w:szCs w:val="21"/>
                <w:lang w:val="en-US" w:eastAsia="zh-CN"/>
              </w:rPr>
            </w:pPr>
            <w:r>
              <w:rPr>
                <w:rFonts w:hint="eastAsia" w:ascii="Times New Roman" w:hAnsi="Times New Roman" w:cs="Times New Roman"/>
                <w:b/>
                <w:bCs/>
                <w:kern w:val="0"/>
                <w:sz w:val="21"/>
                <w:szCs w:val="21"/>
                <w:lang w:val="en-US" w:eastAsia="zh-CN"/>
              </w:rPr>
              <w:t>四级指标</w:t>
            </w:r>
          </w:p>
        </w:tc>
        <w:tc>
          <w:tcPr>
            <w:tcW w:w="4399" w:type="dxa"/>
            <w:vAlign w:val="center"/>
          </w:tcPr>
          <w:p w14:paraId="1158BA63">
            <w:pPr>
              <w:widowControl/>
              <w:adjustRightInd/>
              <w:spacing w:after="0" w:line="240" w:lineRule="auto"/>
              <w:jc w:val="center"/>
              <w:rPr>
                <w:rFonts w:hint="default" w:ascii="Times New Roman" w:hAnsi="Times New Roman" w:eastAsia="宋体" w:cs="Times New Roman"/>
                <w:b/>
                <w:bCs/>
                <w:kern w:val="0"/>
                <w:sz w:val="21"/>
                <w:szCs w:val="21"/>
                <w:lang w:val="en-US" w:eastAsia="zh-CN"/>
              </w:rPr>
            </w:pPr>
            <w:r>
              <w:rPr>
                <w:rFonts w:hint="eastAsia" w:ascii="Times New Roman" w:hAnsi="Times New Roman" w:cs="Times New Roman"/>
                <w:b/>
                <w:bCs/>
                <w:kern w:val="0"/>
                <w:sz w:val="21"/>
                <w:szCs w:val="21"/>
                <w:lang w:val="en-US" w:eastAsia="zh-CN"/>
              </w:rPr>
              <w:t>指标说明</w:t>
            </w:r>
          </w:p>
        </w:tc>
        <w:tc>
          <w:tcPr>
            <w:tcW w:w="791" w:type="dxa"/>
            <w:vAlign w:val="center"/>
          </w:tcPr>
          <w:p w14:paraId="3B60EACE">
            <w:pPr>
              <w:widowControl/>
              <w:adjustRightInd/>
              <w:spacing w:after="0" w:line="240" w:lineRule="auto"/>
              <w:jc w:val="center"/>
              <w:rPr>
                <w:rFonts w:hint="eastAsia" w:ascii="Times New Roman" w:hAnsi="Times New Roman" w:eastAsia="宋体" w:cs="Times New Roman"/>
                <w:b/>
                <w:bCs/>
                <w:kern w:val="0"/>
                <w:sz w:val="21"/>
                <w:szCs w:val="21"/>
                <w:lang w:val="en-US" w:eastAsia="zh-CN"/>
              </w:rPr>
            </w:pPr>
            <w:r>
              <w:rPr>
                <w:rFonts w:hint="eastAsia" w:ascii="Times New Roman" w:hAnsi="Times New Roman" w:cs="Times New Roman"/>
                <w:b/>
                <w:bCs/>
                <w:kern w:val="0"/>
                <w:sz w:val="21"/>
                <w:szCs w:val="21"/>
                <w:lang w:val="en-US" w:eastAsia="zh-CN"/>
              </w:rPr>
              <w:t>分值</w:t>
            </w:r>
          </w:p>
        </w:tc>
      </w:tr>
      <w:tr w14:paraId="7DD90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jc w:val="center"/>
        </w:trPr>
        <w:tc>
          <w:tcPr>
            <w:tcW w:w="1205" w:type="dxa"/>
            <w:vMerge w:val="restart"/>
            <w:vAlign w:val="center"/>
          </w:tcPr>
          <w:p w14:paraId="012ED240">
            <w:pPr>
              <w:widowControl/>
              <w:adjustRightInd/>
              <w:spacing w:after="0" w:line="240" w:lineRule="auto"/>
              <w:jc w:val="center"/>
              <w:rPr>
                <w:rFonts w:hint="default" w:ascii="Times New Roman" w:hAnsi="Times New Roman" w:cs="Times New Roman"/>
                <w:kern w:val="0"/>
                <w:sz w:val="21"/>
                <w:szCs w:val="21"/>
                <w:lang w:eastAsia="en-US"/>
              </w:rPr>
            </w:pPr>
          </w:p>
        </w:tc>
        <w:tc>
          <w:tcPr>
            <w:tcW w:w="1083" w:type="dxa"/>
            <w:vMerge w:val="restart"/>
            <w:vAlign w:val="center"/>
          </w:tcPr>
          <w:p w14:paraId="0BC1DB98">
            <w:pPr>
              <w:widowControl/>
              <w:adjustRightInd/>
              <w:spacing w:after="0" w:line="240" w:lineRule="auto"/>
              <w:jc w:val="center"/>
              <w:rPr>
                <w:rFonts w:hint="default" w:ascii="Times New Roman" w:hAnsi="Times New Roman" w:cs="Times New Roman"/>
                <w:kern w:val="0"/>
                <w:sz w:val="21"/>
                <w:szCs w:val="21"/>
                <w:lang w:eastAsia="en-US"/>
              </w:rPr>
            </w:pPr>
          </w:p>
        </w:tc>
        <w:tc>
          <w:tcPr>
            <w:tcW w:w="1262" w:type="dxa"/>
            <w:vAlign w:val="center"/>
          </w:tcPr>
          <w:p w14:paraId="5017DA5A">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公益慈善</w:t>
            </w:r>
          </w:p>
        </w:tc>
        <w:tc>
          <w:tcPr>
            <w:tcW w:w="1192" w:type="dxa"/>
            <w:vAlign w:val="center"/>
          </w:tcPr>
          <w:p w14:paraId="589C71A0">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参与慈善拍卖等活动</w:t>
            </w:r>
          </w:p>
        </w:tc>
        <w:tc>
          <w:tcPr>
            <w:tcW w:w="4399" w:type="dxa"/>
            <w:vAlign w:val="center"/>
          </w:tcPr>
          <w:p w14:paraId="7B100CD5">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证明材料；参与抢险救灾、扶贫济困、文化公益等慈善拍卖活动得1分</w:t>
            </w:r>
            <w:r>
              <w:rPr>
                <w:rFonts w:hint="eastAsia" w:ascii="Times New Roman" w:hAnsi="Times New Roman" w:cs="Times New Roman"/>
                <w:b w:val="0"/>
                <w:kern w:val="0"/>
                <w:sz w:val="21"/>
                <w:szCs w:val="21"/>
                <w:lang w:eastAsia="zh-CN"/>
              </w:rPr>
              <w:t>。</w:t>
            </w:r>
          </w:p>
        </w:tc>
        <w:tc>
          <w:tcPr>
            <w:tcW w:w="791" w:type="dxa"/>
            <w:vAlign w:val="center"/>
          </w:tcPr>
          <w:p w14:paraId="7558FD7D">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1</w:t>
            </w:r>
          </w:p>
        </w:tc>
      </w:tr>
      <w:tr w14:paraId="3E0AC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9" w:hRule="atLeast"/>
          <w:jc w:val="center"/>
        </w:trPr>
        <w:tc>
          <w:tcPr>
            <w:tcW w:w="1205" w:type="dxa"/>
            <w:vMerge w:val="continue"/>
            <w:vAlign w:val="center"/>
          </w:tcPr>
          <w:p w14:paraId="11AD53D6">
            <w:pPr>
              <w:widowControl/>
              <w:adjustRightInd/>
              <w:spacing w:after="0" w:line="240" w:lineRule="auto"/>
              <w:jc w:val="center"/>
              <w:rPr>
                <w:rFonts w:hint="default" w:ascii="Times New Roman" w:hAnsi="Times New Roman" w:cs="Times New Roman"/>
                <w:kern w:val="0"/>
                <w:sz w:val="21"/>
                <w:szCs w:val="21"/>
                <w:lang w:eastAsia="en-US"/>
              </w:rPr>
            </w:pPr>
          </w:p>
        </w:tc>
        <w:tc>
          <w:tcPr>
            <w:tcW w:w="1083" w:type="dxa"/>
            <w:vMerge w:val="continue"/>
            <w:vAlign w:val="center"/>
          </w:tcPr>
          <w:p w14:paraId="369E6BD2">
            <w:pPr>
              <w:widowControl/>
              <w:adjustRightInd/>
              <w:spacing w:after="0" w:line="240" w:lineRule="auto"/>
              <w:jc w:val="center"/>
              <w:rPr>
                <w:rFonts w:hint="default" w:ascii="Times New Roman" w:hAnsi="Times New Roman" w:cs="Times New Roman"/>
                <w:kern w:val="0"/>
                <w:sz w:val="21"/>
                <w:szCs w:val="21"/>
                <w:lang w:eastAsia="en-US"/>
              </w:rPr>
            </w:pPr>
          </w:p>
        </w:tc>
        <w:tc>
          <w:tcPr>
            <w:tcW w:w="1262" w:type="dxa"/>
            <w:vAlign w:val="center"/>
          </w:tcPr>
          <w:p w14:paraId="44D9FED3">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消费者权益保护</w:t>
            </w:r>
          </w:p>
        </w:tc>
        <w:tc>
          <w:tcPr>
            <w:tcW w:w="1192" w:type="dxa"/>
            <w:vAlign w:val="center"/>
          </w:tcPr>
          <w:p w14:paraId="2C91CD6E">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客户信息保护制度</w:t>
            </w:r>
          </w:p>
        </w:tc>
        <w:tc>
          <w:tcPr>
            <w:tcW w:w="4399" w:type="dxa"/>
            <w:vAlign w:val="center"/>
          </w:tcPr>
          <w:p w14:paraId="4446DFE3">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制度文件；建立客户信息保护制度，无泄露客户隐私行为得1分</w:t>
            </w:r>
            <w:r>
              <w:rPr>
                <w:rFonts w:hint="eastAsia" w:ascii="Times New Roman" w:hAnsi="Times New Roman" w:cs="Times New Roman"/>
                <w:b w:val="0"/>
                <w:kern w:val="0"/>
                <w:sz w:val="21"/>
                <w:szCs w:val="21"/>
                <w:lang w:eastAsia="zh-CN"/>
              </w:rPr>
              <w:t>。</w:t>
            </w:r>
          </w:p>
        </w:tc>
        <w:tc>
          <w:tcPr>
            <w:tcW w:w="791" w:type="dxa"/>
            <w:vAlign w:val="center"/>
          </w:tcPr>
          <w:p w14:paraId="0AEF6ADA">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1</w:t>
            </w:r>
          </w:p>
        </w:tc>
      </w:tr>
      <w:tr w14:paraId="26DFF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9" w:hRule="atLeast"/>
          <w:jc w:val="center"/>
        </w:trPr>
        <w:tc>
          <w:tcPr>
            <w:tcW w:w="1205" w:type="dxa"/>
            <w:vMerge w:val="continue"/>
            <w:vAlign w:val="center"/>
          </w:tcPr>
          <w:p w14:paraId="314CC65B">
            <w:pPr>
              <w:widowControl/>
              <w:adjustRightInd/>
              <w:spacing w:after="0" w:line="240" w:lineRule="auto"/>
              <w:jc w:val="center"/>
              <w:rPr>
                <w:rFonts w:hint="default" w:ascii="Times New Roman" w:hAnsi="Times New Roman" w:cs="Times New Roman"/>
                <w:kern w:val="0"/>
                <w:sz w:val="21"/>
                <w:szCs w:val="21"/>
                <w:lang w:eastAsia="en-US"/>
              </w:rPr>
            </w:pPr>
          </w:p>
        </w:tc>
        <w:tc>
          <w:tcPr>
            <w:tcW w:w="1083" w:type="dxa"/>
            <w:vMerge w:val="restart"/>
            <w:vAlign w:val="center"/>
          </w:tcPr>
          <w:p w14:paraId="630F8B52">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公司治理（3分）</w:t>
            </w:r>
          </w:p>
        </w:tc>
        <w:tc>
          <w:tcPr>
            <w:tcW w:w="1262" w:type="dxa"/>
            <w:vAlign w:val="center"/>
          </w:tcPr>
          <w:p w14:paraId="5BD64089">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反腐败与合规</w:t>
            </w:r>
          </w:p>
        </w:tc>
        <w:tc>
          <w:tcPr>
            <w:tcW w:w="1192" w:type="dxa"/>
            <w:vAlign w:val="center"/>
          </w:tcPr>
          <w:p w14:paraId="4583CDD3">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无商业贿赂记录</w:t>
            </w:r>
          </w:p>
        </w:tc>
        <w:tc>
          <w:tcPr>
            <w:tcW w:w="4399" w:type="dxa"/>
            <w:vAlign w:val="center"/>
          </w:tcPr>
          <w:p w14:paraId="2F8B42FD">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合规记录；建立反腐败制度，无商业贿赂记录得1分</w:t>
            </w:r>
            <w:r>
              <w:rPr>
                <w:rFonts w:hint="eastAsia" w:ascii="Times New Roman" w:hAnsi="Times New Roman" w:cs="Times New Roman"/>
                <w:b w:val="0"/>
                <w:kern w:val="0"/>
                <w:sz w:val="21"/>
                <w:szCs w:val="21"/>
                <w:lang w:eastAsia="zh-CN"/>
              </w:rPr>
              <w:t>。</w:t>
            </w:r>
          </w:p>
        </w:tc>
        <w:tc>
          <w:tcPr>
            <w:tcW w:w="791" w:type="dxa"/>
            <w:vAlign w:val="center"/>
          </w:tcPr>
          <w:p w14:paraId="27800F13">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1</w:t>
            </w:r>
          </w:p>
        </w:tc>
      </w:tr>
      <w:tr w14:paraId="6519D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1205" w:type="dxa"/>
            <w:vMerge w:val="continue"/>
            <w:vAlign w:val="center"/>
          </w:tcPr>
          <w:p w14:paraId="62A6FCE2">
            <w:pPr>
              <w:widowControl/>
              <w:adjustRightInd/>
              <w:spacing w:after="0" w:line="240" w:lineRule="auto"/>
              <w:jc w:val="center"/>
              <w:rPr>
                <w:rFonts w:hint="default" w:ascii="Times New Roman" w:hAnsi="Times New Roman" w:cs="Times New Roman"/>
                <w:kern w:val="0"/>
                <w:sz w:val="21"/>
                <w:szCs w:val="21"/>
                <w:lang w:eastAsia="en-US"/>
              </w:rPr>
            </w:pPr>
          </w:p>
        </w:tc>
        <w:tc>
          <w:tcPr>
            <w:tcW w:w="1083" w:type="dxa"/>
            <w:vMerge w:val="continue"/>
            <w:vAlign w:val="center"/>
          </w:tcPr>
          <w:p w14:paraId="68BC947A">
            <w:pPr>
              <w:widowControl/>
              <w:adjustRightInd/>
              <w:spacing w:after="0" w:line="240" w:lineRule="auto"/>
              <w:jc w:val="center"/>
              <w:rPr>
                <w:rFonts w:hint="default" w:ascii="Times New Roman" w:hAnsi="Times New Roman" w:cs="Times New Roman"/>
                <w:kern w:val="0"/>
                <w:sz w:val="21"/>
                <w:szCs w:val="21"/>
                <w:lang w:eastAsia="en-US"/>
              </w:rPr>
            </w:pPr>
          </w:p>
        </w:tc>
        <w:tc>
          <w:tcPr>
            <w:tcW w:w="1262" w:type="dxa"/>
            <w:vAlign w:val="center"/>
          </w:tcPr>
          <w:p w14:paraId="1FEE5E24">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关联交易规范</w:t>
            </w:r>
          </w:p>
        </w:tc>
        <w:tc>
          <w:tcPr>
            <w:tcW w:w="1192" w:type="dxa"/>
            <w:vAlign w:val="center"/>
          </w:tcPr>
          <w:p w14:paraId="13C801B4">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定价公允，披露充分</w:t>
            </w:r>
          </w:p>
        </w:tc>
        <w:tc>
          <w:tcPr>
            <w:tcW w:w="4399" w:type="dxa"/>
            <w:vAlign w:val="center"/>
          </w:tcPr>
          <w:p w14:paraId="77590B52">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财务记录；关联交易定价公允，披露充分，无利益输送得1分</w:t>
            </w:r>
            <w:r>
              <w:rPr>
                <w:rFonts w:hint="eastAsia" w:ascii="Times New Roman" w:hAnsi="Times New Roman" w:cs="Times New Roman"/>
                <w:b w:val="0"/>
                <w:kern w:val="0"/>
                <w:sz w:val="21"/>
                <w:szCs w:val="21"/>
                <w:lang w:eastAsia="zh-CN"/>
              </w:rPr>
              <w:t>。</w:t>
            </w:r>
          </w:p>
        </w:tc>
        <w:tc>
          <w:tcPr>
            <w:tcW w:w="791" w:type="dxa"/>
            <w:vAlign w:val="center"/>
          </w:tcPr>
          <w:p w14:paraId="7F49332D">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1</w:t>
            </w:r>
          </w:p>
        </w:tc>
      </w:tr>
      <w:tr w14:paraId="38CEB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9" w:hRule="atLeast"/>
          <w:jc w:val="center"/>
        </w:trPr>
        <w:tc>
          <w:tcPr>
            <w:tcW w:w="1205" w:type="dxa"/>
            <w:vMerge w:val="continue"/>
            <w:vAlign w:val="center"/>
          </w:tcPr>
          <w:p w14:paraId="055C003A">
            <w:pPr>
              <w:widowControl/>
              <w:adjustRightInd/>
              <w:spacing w:after="0" w:line="240" w:lineRule="auto"/>
              <w:jc w:val="center"/>
              <w:rPr>
                <w:rFonts w:hint="default" w:ascii="Times New Roman" w:hAnsi="Times New Roman" w:cs="Times New Roman"/>
                <w:kern w:val="0"/>
                <w:sz w:val="21"/>
                <w:szCs w:val="21"/>
                <w:lang w:eastAsia="en-US"/>
              </w:rPr>
            </w:pPr>
          </w:p>
        </w:tc>
        <w:tc>
          <w:tcPr>
            <w:tcW w:w="1083" w:type="dxa"/>
            <w:vMerge w:val="continue"/>
            <w:vAlign w:val="center"/>
          </w:tcPr>
          <w:p w14:paraId="7A220824">
            <w:pPr>
              <w:widowControl/>
              <w:adjustRightInd/>
              <w:spacing w:after="0" w:line="240" w:lineRule="auto"/>
              <w:jc w:val="center"/>
              <w:rPr>
                <w:rFonts w:hint="default" w:ascii="Times New Roman" w:hAnsi="Times New Roman" w:cs="Times New Roman"/>
                <w:kern w:val="0"/>
                <w:sz w:val="21"/>
                <w:szCs w:val="21"/>
                <w:lang w:eastAsia="en-US"/>
              </w:rPr>
            </w:pPr>
          </w:p>
        </w:tc>
        <w:tc>
          <w:tcPr>
            <w:tcW w:w="1262" w:type="dxa"/>
            <w:vAlign w:val="center"/>
          </w:tcPr>
          <w:p w14:paraId="738BD094">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股东权益保护</w:t>
            </w:r>
          </w:p>
        </w:tc>
        <w:tc>
          <w:tcPr>
            <w:tcW w:w="1192" w:type="dxa"/>
            <w:vAlign w:val="center"/>
          </w:tcPr>
          <w:p w14:paraId="51E90216">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保障中小股东权益</w:t>
            </w:r>
          </w:p>
        </w:tc>
        <w:tc>
          <w:tcPr>
            <w:tcW w:w="4399" w:type="dxa"/>
            <w:vAlign w:val="center"/>
          </w:tcPr>
          <w:p w14:paraId="1B7E6379">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公司章程；保障中小股东权益，分红政策稳定透明得1分</w:t>
            </w:r>
            <w:r>
              <w:rPr>
                <w:rFonts w:hint="eastAsia" w:ascii="Times New Roman" w:hAnsi="Times New Roman" w:cs="Times New Roman"/>
                <w:b w:val="0"/>
                <w:kern w:val="0"/>
                <w:sz w:val="21"/>
                <w:szCs w:val="21"/>
                <w:lang w:eastAsia="zh-CN"/>
              </w:rPr>
              <w:t>。</w:t>
            </w:r>
          </w:p>
        </w:tc>
        <w:tc>
          <w:tcPr>
            <w:tcW w:w="791" w:type="dxa"/>
            <w:vAlign w:val="center"/>
          </w:tcPr>
          <w:p w14:paraId="6B1A6B2B">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1</w:t>
            </w:r>
          </w:p>
        </w:tc>
      </w:tr>
      <w:tr w14:paraId="3663C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2" w:hRule="atLeast"/>
          <w:jc w:val="center"/>
        </w:trPr>
        <w:tc>
          <w:tcPr>
            <w:tcW w:w="1205" w:type="dxa"/>
            <w:vMerge w:val="restart"/>
            <w:vAlign w:val="center"/>
          </w:tcPr>
          <w:p w14:paraId="3F175979">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创新发展（加分项，最高15分）</w:t>
            </w:r>
          </w:p>
        </w:tc>
        <w:tc>
          <w:tcPr>
            <w:tcW w:w="1083" w:type="dxa"/>
            <w:vMerge w:val="restart"/>
            <w:vAlign w:val="center"/>
          </w:tcPr>
          <w:p w14:paraId="1C86F1C7">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技术创新（5分）</w:t>
            </w:r>
          </w:p>
        </w:tc>
        <w:tc>
          <w:tcPr>
            <w:tcW w:w="1262" w:type="dxa"/>
            <w:vAlign w:val="center"/>
          </w:tcPr>
          <w:p w14:paraId="67F3ECF7">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新技术应用</w:t>
            </w:r>
          </w:p>
        </w:tc>
        <w:tc>
          <w:tcPr>
            <w:tcW w:w="1192" w:type="dxa"/>
            <w:vAlign w:val="center"/>
          </w:tcPr>
          <w:p w14:paraId="41C7D840">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区块链、AI、大数据等</w:t>
            </w:r>
          </w:p>
        </w:tc>
        <w:tc>
          <w:tcPr>
            <w:tcW w:w="4399" w:type="dxa"/>
            <w:vAlign w:val="center"/>
          </w:tcPr>
          <w:p w14:paraId="0E2B9C57">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技术说明；应用区块链存证、AI估价、大数据分析、虚拟现实展示等新技术得2分</w:t>
            </w:r>
            <w:r>
              <w:rPr>
                <w:rFonts w:hint="eastAsia" w:ascii="Times New Roman" w:hAnsi="Times New Roman" w:cs="Times New Roman"/>
                <w:b w:val="0"/>
                <w:kern w:val="0"/>
                <w:sz w:val="21"/>
                <w:szCs w:val="21"/>
                <w:lang w:eastAsia="zh-CN"/>
              </w:rPr>
              <w:t>。</w:t>
            </w:r>
          </w:p>
        </w:tc>
        <w:tc>
          <w:tcPr>
            <w:tcW w:w="791" w:type="dxa"/>
            <w:vAlign w:val="center"/>
          </w:tcPr>
          <w:p w14:paraId="59054E1D">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2</w:t>
            </w:r>
          </w:p>
        </w:tc>
      </w:tr>
      <w:tr w14:paraId="01BD2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1205" w:type="dxa"/>
            <w:vMerge w:val="continue"/>
            <w:vAlign w:val="center"/>
          </w:tcPr>
          <w:p w14:paraId="4BE49FE8">
            <w:pPr>
              <w:widowControl/>
              <w:adjustRightInd/>
              <w:spacing w:after="0" w:line="240" w:lineRule="auto"/>
              <w:jc w:val="center"/>
              <w:rPr>
                <w:rFonts w:hint="default" w:ascii="Times New Roman" w:hAnsi="Times New Roman" w:cs="Times New Roman"/>
                <w:kern w:val="0"/>
                <w:sz w:val="21"/>
                <w:szCs w:val="21"/>
                <w:lang w:eastAsia="en-US"/>
              </w:rPr>
            </w:pPr>
          </w:p>
        </w:tc>
        <w:tc>
          <w:tcPr>
            <w:tcW w:w="1083" w:type="dxa"/>
            <w:vMerge w:val="continue"/>
            <w:vAlign w:val="center"/>
          </w:tcPr>
          <w:p w14:paraId="4D711B79">
            <w:pPr>
              <w:widowControl/>
              <w:adjustRightInd/>
              <w:spacing w:after="0" w:line="240" w:lineRule="auto"/>
              <w:jc w:val="center"/>
              <w:rPr>
                <w:rFonts w:hint="default" w:ascii="Times New Roman" w:hAnsi="Times New Roman" w:cs="Times New Roman"/>
                <w:kern w:val="0"/>
                <w:sz w:val="21"/>
                <w:szCs w:val="21"/>
                <w:lang w:eastAsia="en-US"/>
              </w:rPr>
            </w:pPr>
          </w:p>
        </w:tc>
        <w:tc>
          <w:tcPr>
            <w:tcW w:w="1262" w:type="dxa"/>
            <w:vAlign w:val="center"/>
          </w:tcPr>
          <w:p w14:paraId="5548B8B7">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数字化平台</w:t>
            </w:r>
          </w:p>
        </w:tc>
        <w:tc>
          <w:tcPr>
            <w:tcW w:w="1192" w:type="dxa"/>
            <w:vAlign w:val="center"/>
          </w:tcPr>
          <w:p w14:paraId="39B44B46">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全流程线上化平台</w:t>
            </w:r>
          </w:p>
        </w:tc>
        <w:tc>
          <w:tcPr>
            <w:tcW w:w="4399" w:type="dxa"/>
            <w:vAlign w:val="center"/>
          </w:tcPr>
          <w:p w14:paraId="6B1F9A05">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平台截图；自建数字化拍卖平台，实现全流程线上化得2分</w:t>
            </w:r>
            <w:r>
              <w:rPr>
                <w:rFonts w:hint="eastAsia" w:ascii="Times New Roman" w:hAnsi="Times New Roman" w:cs="Times New Roman"/>
                <w:b w:val="0"/>
                <w:kern w:val="0"/>
                <w:sz w:val="21"/>
                <w:szCs w:val="21"/>
                <w:lang w:eastAsia="zh-CN"/>
              </w:rPr>
              <w:t>。</w:t>
            </w:r>
          </w:p>
        </w:tc>
        <w:tc>
          <w:tcPr>
            <w:tcW w:w="791" w:type="dxa"/>
            <w:vAlign w:val="center"/>
          </w:tcPr>
          <w:p w14:paraId="5459D4E8">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2</w:t>
            </w:r>
          </w:p>
        </w:tc>
      </w:tr>
      <w:tr w14:paraId="156C8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9" w:hRule="atLeast"/>
          <w:jc w:val="center"/>
        </w:trPr>
        <w:tc>
          <w:tcPr>
            <w:tcW w:w="1205" w:type="dxa"/>
            <w:vMerge w:val="continue"/>
            <w:vAlign w:val="center"/>
          </w:tcPr>
          <w:p w14:paraId="0107E173">
            <w:pPr>
              <w:widowControl/>
              <w:adjustRightInd/>
              <w:spacing w:after="0" w:line="240" w:lineRule="auto"/>
              <w:jc w:val="center"/>
              <w:rPr>
                <w:rFonts w:hint="default" w:ascii="Times New Roman" w:hAnsi="Times New Roman" w:cs="Times New Roman"/>
                <w:kern w:val="0"/>
                <w:sz w:val="21"/>
                <w:szCs w:val="21"/>
                <w:lang w:eastAsia="en-US"/>
              </w:rPr>
            </w:pPr>
          </w:p>
        </w:tc>
        <w:tc>
          <w:tcPr>
            <w:tcW w:w="1083" w:type="dxa"/>
            <w:vMerge w:val="continue"/>
            <w:vAlign w:val="center"/>
          </w:tcPr>
          <w:p w14:paraId="48C7839C">
            <w:pPr>
              <w:widowControl/>
              <w:adjustRightInd/>
              <w:spacing w:after="0" w:line="240" w:lineRule="auto"/>
              <w:jc w:val="center"/>
              <w:rPr>
                <w:rFonts w:hint="default" w:ascii="Times New Roman" w:hAnsi="Times New Roman" w:cs="Times New Roman"/>
                <w:kern w:val="0"/>
                <w:sz w:val="21"/>
                <w:szCs w:val="21"/>
                <w:lang w:eastAsia="en-US"/>
              </w:rPr>
            </w:pPr>
          </w:p>
        </w:tc>
        <w:tc>
          <w:tcPr>
            <w:tcW w:w="1262" w:type="dxa"/>
            <w:vAlign w:val="center"/>
          </w:tcPr>
          <w:p w14:paraId="1FD77AFC">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数据资产化</w:t>
            </w:r>
          </w:p>
        </w:tc>
        <w:tc>
          <w:tcPr>
            <w:tcW w:w="1192" w:type="dxa"/>
            <w:vAlign w:val="center"/>
          </w:tcPr>
          <w:p w14:paraId="6AB73841">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数据资产管理体系</w:t>
            </w:r>
          </w:p>
        </w:tc>
        <w:tc>
          <w:tcPr>
            <w:tcW w:w="4399" w:type="dxa"/>
            <w:vAlign w:val="center"/>
          </w:tcPr>
          <w:p w14:paraId="1A4F3D61">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制度文件；建立企业数据资产管理体系，实现数据价值挖掘得1分</w:t>
            </w:r>
            <w:r>
              <w:rPr>
                <w:rFonts w:hint="eastAsia" w:ascii="Times New Roman" w:hAnsi="Times New Roman" w:cs="Times New Roman"/>
                <w:b w:val="0"/>
                <w:kern w:val="0"/>
                <w:sz w:val="21"/>
                <w:szCs w:val="21"/>
                <w:lang w:eastAsia="zh-CN"/>
              </w:rPr>
              <w:t>。</w:t>
            </w:r>
          </w:p>
        </w:tc>
        <w:tc>
          <w:tcPr>
            <w:tcW w:w="791" w:type="dxa"/>
            <w:vAlign w:val="center"/>
          </w:tcPr>
          <w:p w14:paraId="73E0F54C">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1</w:t>
            </w:r>
          </w:p>
        </w:tc>
      </w:tr>
      <w:tr w14:paraId="02AEF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9" w:hRule="atLeast"/>
          <w:jc w:val="center"/>
        </w:trPr>
        <w:tc>
          <w:tcPr>
            <w:tcW w:w="1205" w:type="dxa"/>
            <w:vMerge w:val="continue"/>
            <w:vAlign w:val="center"/>
          </w:tcPr>
          <w:p w14:paraId="12F2086A">
            <w:pPr>
              <w:widowControl/>
              <w:adjustRightInd/>
              <w:spacing w:after="0" w:line="240" w:lineRule="auto"/>
              <w:jc w:val="center"/>
              <w:rPr>
                <w:rFonts w:hint="default" w:ascii="Times New Roman" w:hAnsi="Times New Roman" w:cs="Times New Roman"/>
                <w:kern w:val="0"/>
                <w:sz w:val="21"/>
                <w:szCs w:val="21"/>
                <w:lang w:eastAsia="en-US"/>
              </w:rPr>
            </w:pPr>
          </w:p>
        </w:tc>
        <w:tc>
          <w:tcPr>
            <w:tcW w:w="1083" w:type="dxa"/>
            <w:vMerge w:val="restart"/>
            <w:vAlign w:val="center"/>
          </w:tcPr>
          <w:p w14:paraId="0C744B66">
            <w:pPr>
              <w:widowControl/>
              <w:adjustRightInd/>
              <w:spacing w:after="0" w:line="240" w:lineRule="auto"/>
              <w:jc w:val="center"/>
              <w:rPr>
                <w:rFonts w:hint="default" w:ascii="Times New Roman" w:hAnsi="Times New Roman" w:eastAsia="宋体" w:cs="Times New Roman"/>
                <w:b w:val="0"/>
                <w:kern w:val="0"/>
                <w:sz w:val="21"/>
                <w:szCs w:val="21"/>
                <w:lang w:eastAsia="en-US"/>
              </w:rPr>
            </w:pPr>
            <w:r>
              <w:rPr>
                <w:rFonts w:hint="default" w:ascii="Times New Roman" w:hAnsi="Times New Roman" w:eastAsia="宋体" w:cs="Times New Roman"/>
                <w:b w:val="0"/>
                <w:kern w:val="0"/>
                <w:sz w:val="21"/>
                <w:szCs w:val="21"/>
                <w:lang w:eastAsia="en-US"/>
              </w:rPr>
              <w:t>标准与理论创新</w:t>
            </w:r>
          </w:p>
          <w:p w14:paraId="0C46B567">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（5分）</w:t>
            </w:r>
          </w:p>
        </w:tc>
        <w:tc>
          <w:tcPr>
            <w:tcW w:w="1262" w:type="dxa"/>
            <w:vAlign w:val="center"/>
          </w:tcPr>
          <w:p w14:paraId="348EE914">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标准编制</w:t>
            </w:r>
          </w:p>
        </w:tc>
        <w:tc>
          <w:tcPr>
            <w:tcW w:w="1192" w:type="dxa"/>
            <w:vAlign w:val="center"/>
          </w:tcPr>
          <w:p w14:paraId="6F38227A">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主编/参编各级标准</w:t>
            </w:r>
          </w:p>
        </w:tc>
        <w:tc>
          <w:tcPr>
            <w:tcW w:w="4399" w:type="dxa"/>
            <w:vAlign w:val="center"/>
          </w:tcPr>
          <w:p w14:paraId="4DB9EB26">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标准文件；主编国家级标准得3分、参编得2分；主编行业标准得2分、参编得1分；主编团体标准得1分、参编得0.5分</w:t>
            </w:r>
            <w:r>
              <w:rPr>
                <w:rFonts w:hint="eastAsia" w:ascii="Times New Roman" w:hAnsi="Times New Roman" w:cs="Times New Roman"/>
                <w:b w:val="0"/>
                <w:kern w:val="0"/>
                <w:sz w:val="21"/>
                <w:szCs w:val="21"/>
                <w:lang w:eastAsia="zh-CN"/>
              </w:rPr>
              <w:t>。</w:t>
            </w:r>
          </w:p>
        </w:tc>
        <w:tc>
          <w:tcPr>
            <w:tcW w:w="791" w:type="dxa"/>
            <w:vAlign w:val="center"/>
          </w:tcPr>
          <w:p w14:paraId="6F61018B">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3</w:t>
            </w:r>
          </w:p>
        </w:tc>
      </w:tr>
      <w:tr w14:paraId="51CD0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7" w:hRule="atLeast"/>
          <w:jc w:val="center"/>
        </w:trPr>
        <w:tc>
          <w:tcPr>
            <w:tcW w:w="1205" w:type="dxa"/>
            <w:vMerge w:val="continue"/>
            <w:vAlign w:val="center"/>
          </w:tcPr>
          <w:p w14:paraId="7CBA530D">
            <w:pPr>
              <w:widowControl/>
              <w:adjustRightInd/>
              <w:spacing w:after="0" w:line="240" w:lineRule="auto"/>
              <w:jc w:val="center"/>
              <w:rPr>
                <w:rFonts w:hint="default" w:ascii="Times New Roman" w:hAnsi="Times New Roman" w:cs="Times New Roman"/>
                <w:kern w:val="0"/>
                <w:sz w:val="21"/>
                <w:szCs w:val="21"/>
                <w:lang w:eastAsia="en-US"/>
              </w:rPr>
            </w:pPr>
          </w:p>
        </w:tc>
        <w:tc>
          <w:tcPr>
            <w:tcW w:w="1083" w:type="dxa"/>
            <w:vMerge w:val="continue"/>
            <w:vAlign w:val="center"/>
          </w:tcPr>
          <w:p w14:paraId="2B88F9FD">
            <w:pPr>
              <w:widowControl/>
              <w:adjustRightInd/>
              <w:spacing w:after="0" w:line="240" w:lineRule="auto"/>
              <w:jc w:val="center"/>
              <w:rPr>
                <w:rFonts w:hint="default" w:ascii="Times New Roman" w:hAnsi="Times New Roman" w:cs="Times New Roman"/>
                <w:kern w:val="0"/>
                <w:sz w:val="21"/>
                <w:szCs w:val="21"/>
                <w:lang w:eastAsia="en-US"/>
              </w:rPr>
            </w:pPr>
          </w:p>
        </w:tc>
        <w:tc>
          <w:tcPr>
            <w:tcW w:w="1262" w:type="dxa"/>
            <w:vAlign w:val="center"/>
          </w:tcPr>
          <w:p w14:paraId="20A64FC7">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理论研究</w:t>
            </w:r>
          </w:p>
        </w:tc>
        <w:tc>
          <w:tcPr>
            <w:tcW w:w="1192" w:type="dxa"/>
            <w:vAlign w:val="center"/>
          </w:tcPr>
          <w:p w14:paraId="419A9035">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发表论文、出版专著</w:t>
            </w:r>
          </w:p>
        </w:tc>
        <w:tc>
          <w:tcPr>
            <w:tcW w:w="4399" w:type="dxa"/>
            <w:vAlign w:val="center"/>
          </w:tcPr>
          <w:p w14:paraId="54F390E6">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出版物；发表拍卖行业相关核心期刊论文每篇0.5分，出版专著得2分，满分2分</w:t>
            </w:r>
            <w:r>
              <w:rPr>
                <w:rFonts w:hint="eastAsia" w:ascii="Times New Roman" w:hAnsi="Times New Roman" w:cs="Times New Roman"/>
                <w:b w:val="0"/>
                <w:kern w:val="0"/>
                <w:sz w:val="21"/>
                <w:szCs w:val="21"/>
                <w:lang w:eastAsia="zh-CN"/>
              </w:rPr>
              <w:t>。</w:t>
            </w:r>
          </w:p>
        </w:tc>
        <w:tc>
          <w:tcPr>
            <w:tcW w:w="791" w:type="dxa"/>
            <w:vAlign w:val="center"/>
          </w:tcPr>
          <w:p w14:paraId="6905DE32">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2</w:t>
            </w:r>
          </w:p>
        </w:tc>
      </w:tr>
      <w:tr w14:paraId="14D2C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jc w:val="center"/>
        </w:trPr>
        <w:tc>
          <w:tcPr>
            <w:tcW w:w="1205" w:type="dxa"/>
            <w:vMerge w:val="continue"/>
            <w:vAlign w:val="center"/>
          </w:tcPr>
          <w:p w14:paraId="0BB2D6BF">
            <w:pPr>
              <w:widowControl/>
              <w:adjustRightInd/>
              <w:spacing w:after="0" w:line="240" w:lineRule="auto"/>
              <w:jc w:val="center"/>
              <w:rPr>
                <w:rFonts w:hint="default" w:ascii="Times New Roman" w:hAnsi="Times New Roman" w:cs="Times New Roman"/>
                <w:kern w:val="0"/>
                <w:sz w:val="21"/>
                <w:szCs w:val="21"/>
                <w:lang w:eastAsia="en-US"/>
              </w:rPr>
            </w:pPr>
          </w:p>
        </w:tc>
        <w:tc>
          <w:tcPr>
            <w:tcW w:w="1083" w:type="dxa"/>
            <w:vAlign w:val="center"/>
          </w:tcPr>
          <w:p w14:paraId="36F6B0FA">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行业贡献（5分）</w:t>
            </w:r>
          </w:p>
        </w:tc>
        <w:tc>
          <w:tcPr>
            <w:tcW w:w="1262" w:type="dxa"/>
            <w:vAlign w:val="center"/>
          </w:tcPr>
          <w:p w14:paraId="73F63761">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重大活动保障</w:t>
            </w:r>
          </w:p>
        </w:tc>
        <w:tc>
          <w:tcPr>
            <w:tcW w:w="1192" w:type="dxa"/>
            <w:vAlign w:val="center"/>
          </w:tcPr>
          <w:p w14:paraId="5FE43D7D">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司法辅助、国资处置等</w:t>
            </w:r>
          </w:p>
        </w:tc>
        <w:tc>
          <w:tcPr>
            <w:tcW w:w="4399" w:type="dxa"/>
            <w:vAlign w:val="center"/>
          </w:tcPr>
          <w:p w14:paraId="366B0FBE">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主管部门证明；承担司法辅助拍卖、国有资产处置、公益拍卖等重大活动得2分</w:t>
            </w:r>
            <w:r>
              <w:rPr>
                <w:rFonts w:hint="eastAsia" w:ascii="Times New Roman" w:hAnsi="Times New Roman" w:cs="Times New Roman"/>
                <w:b w:val="0"/>
                <w:kern w:val="0"/>
                <w:sz w:val="21"/>
                <w:szCs w:val="21"/>
                <w:lang w:eastAsia="zh-CN"/>
              </w:rPr>
              <w:t>。</w:t>
            </w:r>
          </w:p>
        </w:tc>
        <w:tc>
          <w:tcPr>
            <w:tcW w:w="791" w:type="dxa"/>
            <w:vAlign w:val="center"/>
          </w:tcPr>
          <w:p w14:paraId="45AC8860">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2</w:t>
            </w:r>
          </w:p>
        </w:tc>
      </w:tr>
    </w:tbl>
    <w:p w14:paraId="73C2DD74">
      <w:pPr>
        <w:pStyle w:val="88"/>
        <w:numPr>
          <w:ilvl w:val="1"/>
          <w:numId w:val="35"/>
        </w:numPr>
        <w:bidi w:val="0"/>
        <w:rPr>
          <w:rFonts w:hint="eastAsia" w:eastAsia="宋体"/>
          <w:lang w:eastAsia="zh-CN"/>
        </w:rPr>
      </w:pPr>
      <w:r>
        <w:rPr>
          <w:rFonts w:hint="eastAsia"/>
        </w:rPr>
        <w:t>拍卖企业信用评价表</w:t>
      </w:r>
      <w:r>
        <w:rPr>
          <w:rFonts w:hint="eastAsia"/>
          <w:lang w:eastAsia="zh-CN"/>
        </w:rPr>
        <w:t>（</w:t>
      </w:r>
      <w:r>
        <w:rPr>
          <w:rFonts w:hint="eastAsia"/>
          <w:lang w:val="en-US" w:eastAsia="zh-CN"/>
        </w:rPr>
        <w:t>续</w:t>
      </w:r>
      <w:r>
        <w:rPr>
          <w:rFonts w:hint="eastAsia"/>
          <w:lang w:eastAsia="zh-CN"/>
        </w:rPr>
        <w:t>）</w:t>
      </w:r>
    </w:p>
    <w:tbl>
      <w:tblPr>
        <w:tblStyle w:val="27"/>
        <w:tblW w:w="97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9"/>
        <w:gridCol w:w="1104"/>
        <w:gridCol w:w="1255"/>
        <w:gridCol w:w="1186"/>
        <w:gridCol w:w="4391"/>
        <w:gridCol w:w="791"/>
      </w:tblGrid>
      <w:tr w14:paraId="147B5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1069" w:type="dxa"/>
            <w:vAlign w:val="center"/>
          </w:tcPr>
          <w:p w14:paraId="7D1B9EC1">
            <w:pPr>
              <w:widowControl/>
              <w:adjustRightInd/>
              <w:spacing w:after="0" w:line="240" w:lineRule="auto"/>
              <w:jc w:val="center"/>
              <w:rPr>
                <w:rFonts w:hint="eastAsia" w:ascii="Times New Roman" w:hAnsi="Times New Roman" w:eastAsia="宋体" w:cs="Times New Roman"/>
                <w:b/>
                <w:bCs/>
                <w:kern w:val="0"/>
                <w:sz w:val="21"/>
                <w:szCs w:val="21"/>
                <w:lang w:val="en-US" w:eastAsia="zh-CN"/>
              </w:rPr>
            </w:pPr>
            <w:r>
              <w:rPr>
                <w:rFonts w:hint="eastAsia" w:ascii="Times New Roman" w:hAnsi="Times New Roman" w:cs="Times New Roman"/>
                <w:b/>
                <w:bCs/>
                <w:kern w:val="0"/>
                <w:sz w:val="21"/>
                <w:szCs w:val="21"/>
                <w:lang w:val="en-US" w:eastAsia="zh-CN"/>
              </w:rPr>
              <w:t>一级指标</w:t>
            </w:r>
          </w:p>
        </w:tc>
        <w:tc>
          <w:tcPr>
            <w:tcW w:w="1104" w:type="dxa"/>
            <w:vAlign w:val="center"/>
          </w:tcPr>
          <w:p w14:paraId="49007728">
            <w:pPr>
              <w:widowControl/>
              <w:adjustRightInd/>
              <w:spacing w:after="0" w:line="240" w:lineRule="auto"/>
              <w:jc w:val="center"/>
              <w:rPr>
                <w:rFonts w:hint="default" w:ascii="Times New Roman" w:hAnsi="Times New Roman" w:eastAsia="宋体" w:cs="Times New Roman"/>
                <w:b/>
                <w:bCs/>
                <w:kern w:val="0"/>
                <w:sz w:val="21"/>
                <w:szCs w:val="21"/>
                <w:lang w:val="en-US" w:eastAsia="zh-CN"/>
              </w:rPr>
            </w:pPr>
            <w:r>
              <w:rPr>
                <w:rFonts w:hint="eastAsia" w:ascii="Times New Roman" w:hAnsi="Times New Roman" w:cs="Times New Roman"/>
                <w:b/>
                <w:bCs/>
                <w:kern w:val="0"/>
                <w:sz w:val="21"/>
                <w:szCs w:val="21"/>
                <w:lang w:val="en-US" w:eastAsia="zh-CN"/>
              </w:rPr>
              <w:t>二级指标</w:t>
            </w:r>
          </w:p>
        </w:tc>
        <w:tc>
          <w:tcPr>
            <w:tcW w:w="1255" w:type="dxa"/>
            <w:vAlign w:val="center"/>
          </w:tcPr>
          <w:p w14:paraId="0425AE90">
            <w:pPr>
              <w:widowControl/>
              <w:adjustRightInd/>
              <w:spacing w:after="0" w:line="240" w:lineRule="auto"/>
              <w:jc w:val="center"/>
              <w:rPr>
                <w:rFonts w:hint="eastAsia" w:ascii="Times New Roman" w:hAnsi="Times New Roman" w:eastAsia="宋体" w:cs="Times New Roman"/>
                <w:b/>
                <w:bCs/>
                <w:kern w:val="0"/>
                <w:sz w:val="21"/>
                <w:szCs w:val="21"/>
                <w:lang w:val="en-US" w:eastAsia="zh-CN"/>
              </w:rPr>
            </w:pPr>
            <w:r>
              <w:rPr>
                <w:rFonts w:hint="eastAsia" w:ascii="Times New Roman" w:hAnsi="Times New Roman" w:cs="Times New Roman"/>
                <w:b/>
                <w:bCs/>
                <w:kern w:val="0"/>
                <w:sz w:val="21"/>
                <w:szCs w:val="21"/>
                <w:lang w:val="en-US" w:eastAsia="zh-CN"/>
              </w:rPr>
              <w:t>三级指标</w:t>
            </w:r>
          </w:p>
        </w:tc>
        <w:tc>
          <w:tcPr>
            <w:tcW w:w="1186" w:type="dxa"/>
            <w:vAlign w:val="center"/>
          </w:tcPr>
          <w:p w14:paraId="515D971B">
            <w:pPr>
              <w:widowControl/>
              <w:adjustRightInd/>
              <w:spacing w:after="0" w:line="240" w:lineRule="auto"/>
              <w:jc w:val="center"/>
              <w:rPr>
                <w:rFonts w:hint="default" w:ascii="Times New Roman" w:hAnsi="Times New Roman" w:eastAsia="宋体" w:cs="Times New Roman"/>
                <w:b/>
                <w:bCs/>
                <w:kern w:val="0"/>
                <w:sz w:val="21"/>
                <w:szCs w:val="21"/>
                <w:lang w:val="en-US" w:eastAsia="zh-CN"/>
              </w:rPr>
            </w:pPr>
            <w:r>
              <w:rPr>
                <w:rFonts w:hint="eastAsia" w:ascii="Times New Roman" w:hAnsi="Times New Roman" w:cs="Times New Roman"/>
                <w:b/>
                <w:bCs/>
                <w:kern w:val="0"/>
                <w:sz w:val="21"/>
                <w:szCs w:val="21"/>
                <w:lang w:val="en-US" w:eastAsia="zh-CN"/>
              </w:rPr>
              <w:t>四级指标</w:t>
            </w:r>
          </w:p>
        </w:tc>
        <w:tc>
          <w:tcPr>
            <w:tcW w:w="4391" w:type="dxa"/>
            <w:vAlign w:val="center"/>
          </w:tcPr>
          <w:p w14:paraId="3F1B1255">
            <w:pPr>
              <w:widowControl/>
              <w:adjustRightInd/>
              <w:spacing w:after="0" w:line="240" w:lineRule="auto"/>
              <w:jc w:val="center"/>
              <w:rPr>
                <w:rFonts w:hint="default" w:ascii="Times New Roman" w:hAnsi="Times New Roman" w:eastAsia="宋体" w:cs="Times New Roman"/>
                <w:b/>
                <w:bCs/>
                <w:kern w:val="0"/>
                <w:sz w:val="21"/>
                <w:szCs w:val="21"/>
                <w:lang w:val="en-US" w:eastAsia="zh-CN"/>
              </w:rPr>
            </w:pPr>
            <w:r>
              <w:rPr>
                <w:rFonts w:hint="eastAsia" w:ascii="Times New Roman" w:hAnsi="Times New Roman" w:cs="Times New Roman"/>
                <w:b/>
                <w:bCs/>
                <w:kern w:val="0"/>
                <w:sz w:val="21"/>
                <w:szCs w:val="21"/>
                <w:lang w:val="en-US" w:eastAsia="zh-CN"/>
              </w:rPr>
              <w:t>指标说明</w:t>
            </w:r>
          </w:p>
        </w:tc>
        <w:tc>
          <w:tcPr>
            <w:tcW w:w="791" w:type="dxa"/>
            <w:vAlign w:val="center"/>
          </w:tcPr>
          <w:p w14:paraId="53C9F9D5">
            <w:pPr>
              <w:widowControl/>
              <w:adjustRightInd/>
              <w:spacing w:after="0" w:line="240" w:lineRule="auto"/>
              <w:jc w:val="center"/>
              <w:rPr>
                <w:rFonts w:hint="eastAsia" w:ascii="Times New Roman" w:hAnsi="Times New Roman" w:eastAsia="宋体" w:cs="Times New Roman"/>
                <w:b/>
                <w:bCs/>
                <w:kern w:val="0"/>
                <w:sz w:val="21"/>
                <w:szCs w:val="21"/>
                <w:lang w:val="en-US" w:eastAsia="zh-CN"/>
              </w:rPr>
            </w:pPr>
            <w:r>
              <w:rPr>
                <w:rFonts w:hint="eastAsia" w:ascii="Times New Roman" w:hAnsi="Times New Roman" w:cs="Times New Roman"/>
                <w:b/>
                <w:bCs/>
                <w:kern w:val="0"/>
                <w:sz w:val="21"/>
                <w:szCs w:val="21"/>
                <w:lang w:val="en-US" w:eastAsia="zh-CN"/>
              </w:rPr>
              <w:t>分值</w:t>
            </w:r>
          </w:p>
        </w:tc>
      </w:tr>
      <w:tr w14:paraId="4549D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jc w:val="center"/>
        </w:trPr>
        <w:tc>
          <w:tcPr>
            <w:tcW w:w="1069" w:type="dxa"/>
            <w:vMerge w:val="restart"/>
            <w:vAlign w:val="center"/>
          </w:tcPr>
          <w:p w14:paraId="2782F2B9">
            <w:pPr>
              <w:widowControl/>
              <w:adjustRightInd/>
              <w:spacing w:after="0" w:line="240" w:lineRule="auto"/>
              <w:jc w:val="center"/>
              <w:rPr>
                <w:rFonts w:hint="default" w:ascii="Times New Roman" w:hAnsi="Times New Roman" w:cs="Times New Roman"/>
                <w:kern w:val="0"/>
                <w:sz w:val="21"/>
                <w:szCs w:val="21"/>
                <w:lang w:eastAsia="en-US"/>
              </w:rPr>
            </w:pPr>
          </w:p>
        </w:tc>
        <w:tc>
          <w:tcPr>
            <w:tcW w:w="1104" w:type="dxa"/>
            <w:vMerge w:val="restart"/>
            <w:vAlign w:val="center"/>
          </w:tcPr>
          <w:p w14:paraId="38AC4F9F">
            <w:pPr>
              <w:widowControl/>
              <w:adjustRightInd/>
              <w:spacing w:after="0" w:line="240" w:lineRule="auto"/>
              <w:jc w:val="center"/>
              <w:rPr>
                <w:rFonts w:hint="default" w:ascii="Times New Roman" w:hAnsi="Times New Roman" w:cs="Times New Roman"/>
                <w:kern w:val="0"/>
                <w:sz w:val="21"/>
                <w:szCs w:val="21"/>
                <w:lang w:eastAsia="en-US"/>
              </w:rPr>
            </w:pPr>
          </w:p>
        </w:tc>
        <w:tc>
          <w:tcPr>
            <w:tcW w:w="1255" w:type="dxa"/>
            <w:vAlign w:val="center"/>
          </w:tcPr>
          <w:p w14:paraId="65BBF5B6">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行业服务</w:t>
            </w:r>
          </w:p>
        </w:tc>
        <w:tc>
          <w:tcPr>
            <w:tcW w:w="1186" w:type="dxa"/>
            <w:vAlign w:val="center"/>
          </w:tcPr>
          <w:p w14:paraId="414B7203">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培训、咨询、志愿服务</w:t>
            </w:r>
          </w:p>
        </w:tc>
        <w:tc>
          <w:tcPr>
            <w:tcW w:w="4391" w:type="dxa"/>
            <w:vAlign w:val="center"/>
          </w:tcPr>
          <w:p w14:paraId="3D690FE0">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相关证明；为行业发展提供培训、咨询、志愿服务，举办行业交流活动得2分</w:t>
            </w:r>
            <w:r>
              <w:rPr>
                <w:rFonts w:hint="eastAsia" w:ascii="Times New Roman" w:hAnsi="Times New Roman" w:cs="Times New Roman"/>
                <w:b w:val="0"/>
                <w:kern w:val="0"/>
                <w:sz w:val="21"/>
                <w:szCs w:val="21"/>
                <w:lang w:eastAsia="zh-CN"/>
              </w:rPr>
              <w:t>。</w:t>
            </w:r>
          </w:p>
        </w:tc>
        <w:tc>
          <w:tcPr>
            <w:tcW w:w="791" w:type="dxa"/>
            <w:vAlign w:val="center"/>
          </w:tcPr>
          <w:p w14:paraId="661A3C88">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2</w:t>
            </w:r>
          </w:p>
        </w:tc>
      </w:tr>
      <w:tr w14:paraId="5F0A5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1069" w:type="dxa"/>
            <w:vMerge w:val="continue"/>
            <w:vAlign w:val="center"/>
          </w:tcPr>
          <w:p w14:paraId="642A6C71">
            <w:pPr>
              <w:widowControl/>
              <w:adjustRightInd/>
              <w:spacing w:after="0" w:line="240" w:lineRule="auto"/>
              <w:jc w:val="center"/>
              <w:rPr>
                <w:rFonts w:hint="default" w:ascii="Times New Roman" w:hAnsi="Times New Roman" w:cs="Times New Roman"/>
                <w:kern w:val="0"/>
                <w:sz w:val="21"/>
                <w:szCs w:val="21"/>
                <w:lang w:eastAsia="en-US"/>
              </w:rPr>
            </w:pPr>
          </w:p>
        </w:tc>
        <w:tc>
          <w:tcPr>
            <w:tcW w:w="1104" w:type="dxa"/>
            <w:vMerge w:val="continue"/>
            <w:vAlign w:val="center"/>
          </w:tcPr>
          <w:p w14:paraId="0347958A">
            <w:pPr>
              <w:widowControl/>
              <w:adjustRightInd/>
              <w:spacing w:after="0" w:line="240" w:lineRule="auto"/>
              <w:jc w:val="center"/>
              <w:rPr>
                <w:rFonts w:hint="default" w:ascii="Times New Roman" w:hAnsi="Times New Roman" w:cs="Times New Roman"/>
                <w:kern w:val="0"/>
                <w:sz w:val="21"/>
                <w:szCs w:val="21"/>
                <w:lang w:eastAsia="en-US"/>
              </w:rPr>
            </w:pPr>
          </w:p>
        </w:tc>
        <w:tc>
          <w:tcPr>
            <w:tcW w:w="1255" w:type="dxa"/>
            <w:vAlign w:val="center"/>
          </w:tcPr>
          <w:p w14:paraId="3C23FD6C">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职业技能竞赛</w:t>
            </w:r>
          </w:p>
        </w:tc>
        <w:tc>
          <w:tcPr>
            <w:tcW w:w="1186" w:type="dxa"/>
            <w:vAlign w:val="center"/>
          </w:tcPr>
          <w:p w14:paraId="0EA48CCC">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竞赛获奖</w:t>
            </w:r>
          </w:p>
        </w:tc>
        <w:tc>
          <w:tcPr>
            <w:tcW w:w="4391" w:type="dxa"/>
            <w:vAlign w:val="center"/>
          </w:tcPr>
          <w:p w14:paraId="7A10A145">
            <w:pPr>
              <w:widowControl/>
              <w:adjustRightInd/>
              <w:spacing w:after="0" w:line="240" w:lineRule="auto"/>
              <w:jc w:val="center"/>
              <w:rPr>
                <w:rFonts w:hint="eastAsia" w:ascii="Times New Roman" w:hAnsi="Times New Roman" w:eastAsia="宋体" w:cs="Times New Roman"/>
                <w:kern w:val="0"/>
                <w:sz w:val="21"/>
                <w:szCs w:val="21"/>
                <w:lang w:eastAsia="zh-CN"/>
              </w:rPr>
            </w:pPr>
            <w:r>
              <w:rPr>
                <w:rFonts w:hint="default" w:ascii="Times New Roman" w:hAnsi="Times New Roman" w:eastAsia="宋体" w:cs="Times New Roman"/>
                <w:b w:val="0"/>
                <w:kern w:val="0"/>
                <w:sz w:val="21"/>
                <w:szCs w:val="21"/>
                <w:lang w:eastAsia="en-US"/>
              </w:rPr>
              <w:t>获奖证书；参加各类拍卖师职业技能竞赛获奖得1分</w:t>
            </w:r>
            <w:r>
              <w:rPr>
                <w:rFonts w:hint="eastAsia" w:ascii="Times New Roman" w:hAnsi="Times New Roman" w:cs="Times New Roman"/>
                <w:b w:val="0"/>
                <w:kern w:val="0"/>
                <w:sz w:val="21"/>
                <w:szCs w:val="21"/>
                <w:lang w:eastAsia="zh-CN"/>
              </w:rPr>
              <w:t>。</w:t>
            </w:r>
          </w:p>
        </w:tc>
        <w:tc>
          <w:tcPr>
            <w:tcW w:w="791" w:type="dxa"/>
            <w:vAlign w:val="center"/>
          </w:tcPr>
          <w:p w14:paraId="3E7D5B55">
            <w:pPr>
              <w:widowControl/>
              <w:adjustRightInd/>
              <w:spacing w:after="0" w:line="240" w:lineRule="auto"/>
              <w:jc w:val="center"/>
              <w:rPr>
                <w:rFonts w:hint="default" w:ascii="Times New Roman" w:hAnsi="Times New Roman" w:cs="Times New Roman"/>
                <w:kern w:val="0"/>
                <w:sz w:val="21"/>
                <w:szCs w:val="21"/>
                <w:lang w:eastAsia="en-US"/>
              </w:rPr>
            </w:pPr>
            <w:r>
              <w:rPr>
                <w:rFonts w:hint="default" w:ascii="Times New Roman" w:hAnsi="Times New Roman" w:eastAsia="宋体" w:cs="Times New Roman"/>
                <w:b w:val="0"/>
                <w:kern w:val="0"/>
                <w:sz w:val="21"/>
                <w:szCs w:val="21"/>
                <w:lang w:eastAsia="en-US"/>
              </w:rPr>
              <w:t>1</w:t>
            </w:r>
          </w:p>
        </w:tc>
      </w:tr>
    </w:tbl>
    <w:p w14:paraId="5523D9A0">
      <w:pPr>
        <w:pStyle w:val="35"/>
        <w:ind w:firstLine="0" w:firstLineChars="0"/>
        <w:rPr>
          <w:rFonts w:hint="eastAsia"/>
        </w:rPr>
      </w:pPr>
    </w:p>
    <w:p w14:paraId="4E8ECCE7">
      <w:pPr>
        <w:pStyle w:val="35"/>
        <w:ind w:firstLine="0" w:firstLineChars="0"/>
        <w:rPr>
          <w:rFonts w:hint="eastAsia"/>
        </w:rPr>
      </w:pPr>
      <w:r>
        <w:rPr>
          <w:rFonts w:hint="eastAsia"/>
        </w:rPr>
        <w:t>评分说明：</w:t>
      </w:r>
    </w:p>
    <w:p w14:paraId="2F4C1F2D">
      <w:pPr>
        <w:pStyle w:val="35"/>
        <w:ind w:firstLine="0" w:firstLineChars="0"/>
        <w:rPr>
          <w:rFonts w:hint="eastAsia"/>
        </w:rPr>
      </w:pPr>
      <w:r>
        <w:rPr>
          <w:rFonts w:hint="eastAsia"/>
        </w:rPr>
        <w:t>1. 基础指标满分100分，加分项最高1</w:t>
      </w:r>
      <w:r>
        <w:rPr>
          <w:rFonts w:hint="eastAsia"/>
          <w:lang w:val="en-US" w:eastAsia="zh-CN"/>
        </w:rPr>
        <w:t>5</w:t>
      </w:r>
      <w:r>
        <w:rPr>
          <w:rFonts w:hint="eastAsia"/>
        </w:rPr>
        <w:t>分，总分最高11</w:t>
      </w:r>
      <w:r>
        <w:rPr>
          <w:rFonts w:hint="eastAsia"/>
          <w:lang w:val="en-US" w:eastAsia="zh-CN"/>
        </w:rPr>
        <w:t>5</w:t>
      </w:r>
      <w:r>
        <w:rPr>
          <w:rFonts w:hint="eastAsia"/>
        </w:rPr>
        <w:t>分。</w:t>
      </w:r>
    </w:p>
    <w:p w14:paraId="29153873">
      <w:pPr>
        <w:pStyle w:val="35"/>
        <w:ind w:firstLine="0" w:firstLineChars="0"/>
        <w:rPr>
          <w:rFonts w:hint="eastAsia"/>
        </w:rPr>
      </w:pPr>
      <w:r>
        <w:rPr>
          <w:rFonts w:hint="eastAsia"/>
        </w:rPr>
        <w:t>2. 触及一票否决指标的，直接评为D级，不计总分。</w:t>
      </w:r>
    </w:p>
    <w:p w14:paraId="6F3A38E3">
      <w:pPr>
        <w:pStyle w:val="35"/>
        <w:ind w:firstLine="0" w:firstLineChars="0"/>
        <w:rPr>
          <w:rFonts w:hint="eastAsia"/>
        </w:rPr>
      </w:pPr>
      <w:r>
        <w:rPr>
          <w:rFonts w:hint="eastAsia"/>
        </w:rPr>
        <w:t>3. 评分出现小数时，保留一位小数，最终得分按四舍五入取整。</w:t>
      </w:r>
    </w:p>
    <w:p w14:paraId="1456EF5F">
      <w:pPr>
        <w:pStyle w:val="35"/>
        <w:ind w:firstLine="0" w:firstLineChars="0"/>
        <w:rPr>
          <w:rFonts w:hint="eastAsia"/>
          <w:lang w:eastAsia="zh-CN"/>
        </w:rPr>
      </w:pPr>
      <w:r>
        <w:rPr>
          <w:rFonts w:hint="eastAsia"/>
        </w:rPr>
        <w:t>4. 评价小组各成员独立评分，专家评审不得少于 3 人</w:t>
      </w:r>
      <w:r>
        <w:rPr>
          <w:rFonts w:hint="eastAsia"/>
          <w:lang w:eastAsia="zh-CN"/>
        </w:rPr>
        <w:t>，</w:t>
      </w:r>
      <w:r>
        <w:rPr>
          <w:rFonts w:hint="eastAsia"/>
        </w:rPr>
        <w:t>最终得分为各成员评分的算术平均分</w:t>
      </w:r>
      <w:r>
        <w:rPr>
          <w:rFonts w:hint="eastAsia"/>
          <w:lang w:eastAsia="zh-CN"/>
        </w:rPr>
        <w:t>。</w:t>
      </w:r>
    </w:p>
    <w:p w14:paraId="58DF1605">
      <w:pPr>
        <w:pStyle w:val="35"/>
        <w:ind w:firstLine="0" w:firstLineChars="0"/>
        <w:rPr>
          <w:rFonts w:hint="eastAsia"/>
          <w:lang w:eastAsia="zh-CN"/>
        </w:rPr>
      </w:pPr>
    </w:p>
    <w:p w14:paraId="78E4A15A">
      <w:pPr>
        <w:pStyle w:val="35"/>
        <w:ind w:firstLine="0" w:firstLineChars="0"/>
        <w:rPr>
          <w:rFonts w:hint="eastAsia"/>
          <w:lang w:eastAsia="zh-CN"/>
        </w:rPr>
      </w:pPr>
    </w:p>
    <w:p w14:paraId="08CE7F12">
      <w:pPr>
        <w:pStyle w:val="35"/>
        <w:ind w:firstLine="0" w:firstLineChars="0"/>
        <w:rPr>
          <w:rFonts w:hint="eastAsia"/>
          <w:lang w:eastAsia="zh-CN"/>
        </w:rPr>
      </w:pPr>
    </w:p>
    <w:p w14:paraId="1122E032">
      <w:pPr>
        <w:pStyle w:val="35"/>
        <w:ind w:firstLine="0" w:firstLineChars="0"/>
        <w:rPr>
          <w:rFonts w:hint="eastAsia"/>
          <w:lang w:eastAsia="zh-CN"/>
        </w:rPr>
      </w:pPr>
    </w:p>
    <w:p w14:paraId="0EA64B8B">
      <w:pPr>
        <w:pStyle w:val="35"/>
        <w:ind w:firstLine="0" w:firstLineChars="0"/>
        <w:rPr>
          <w:rFonts w:hint="eastAsia"/>
          <w:lang w:eastAsia="zh-CN"/>
        </w:rPr>
      </w:pPr>
    </w:p>
    <w:p w14:paraId="2989AC0D">
      <w:pPr>
        <w:pStyle w:val="35"/>
        <w:ind w:firstLine="0" w:firstLineChars="0"/>
        <w:rPr>
          <w:rFonts w:hint="eastAsia"/>
          <w:lang w:eastAsia="zh-CN"/>
        </w:rPr>
      </w:pPr>
    </w:p>
    <w:p w14:paraId="30237E57">
      <w:pPr>
        <w:pStyle w:val="35"/>
        <w:ind w:firstLine="0" w:firstLineChars="0"/>
        <w:rPr>
          <w:rFonts w:hint="eastAsia"/>
          <w:lang w:eastAsia="zh-CN"/>
        </w:rPr>
      </w:pPr>
    </w:p>
    <w:p w14:paraId="73CDAE59">
      <w:pPr>
        <w:pStyle w:val="35"/>
        <w:ind w:firstLine="0" w:firstLineChars="0"/>
        <w:rPr>
          <w:rFonts w:hint="eastAsia"/>
          <w:lang w:eastAsia="zh-CN"/>
        </w:rPr>
      </w:pPr>
    </w:p>
    <w:p w14:paraId="23DD8BCB">
      <w:pPr>
        <w:pStyle w:val="35"/>
        <w:ind w:firstLine="0" w:firstLineChars="0"/>
        <w:rPr>
          <w:rFonts w:hint="eastAsia"/>
          <w:lang w:eastAsia="zh-CN"/>
        </w:rPr>
      </w:pPr>
    </w:p>
    <w:p w14:paraId="5BC2DBD8">
      <w:pPr>
        <w:pStyle w:val="35"/>
        <w:ind w:firstLine="0" w:firstLineChars="0"/>
        <w:rPr>
          <w:rFonts w:hint="eastAsia"/>
          <w:lang w:eastAsia="zh-CN"/>
        </w:rPr>
      </w:pPr>
    </w:p>
    <w:p w14:paraId="35B0FF70">
      <w:pPr>
        <w:pStyle w:val="35"/>
        <w:ind w:firstLine="0" w:firstLineChars="0"/>
        <w:rPr>
          <w:rFonts w:hint="eastAsia"/>
          <w:lang w:eastAsia="zh-CN"/>
        </w:rPr>
      </w:pPr>
    </w:p>
    <w:p w14:paraId="463D84FB">
      <w:pPr>
        <w:pStyle w:val="35"/>
        <w:ind w:firstLine="0" w:firstLineChars="0"/>
        <w:rPr>
          <w:rFonts w:hint="eastAsia"/>
          <w:lang w:eastAsia="zh-CN"/>
        </w:rPr>
      </w:pPr>
    </w:p>
    <w:p w14:paraId="5E9E89E1">
      <w:pPr>
        <w:pStyle w:val="35"/>
        <w:ind w:firstLine="0" w:firstLineChars="0"/>
        <w:rPr>
          <w:rFonts w:hint="eastAsia"/>
          <w:lang w:eastAsia="zh-CN"/>
        </w:rPr>
      </w:pPr>
    </w:p>
    <w:p w14:paraId="4C4EAC47">
      <w:pPr>
        <w:pStyle w:val="35"/>
        <w:ind w:firstLine="0" w:firstLineChars="0"/>
        <w:rPr>
          <w:rFonts w:hint="eastAsia"/>
          <w:lang w:eastAsia="zh-CN"/>
        </w:rPr>
      </w:pPr>
    </w:p>
    <w:p w14:paraId="50D55EC1">
      <w:pPr>
        <w:pStyle w:val="35"/>
        <w:ind w:firstLine="0" w:firstLineChars="0"/>
        <w:rPr>
          <w:rFonts w:hint="eastAsia"/>
          <w:lang w:eastAsia="zh-CN"/>
        </w:rPr>
      </w:pPr>
    </w:p>
    <w:p w14:paraId="1161AD14">
      <w:pPr>
        <w:pStyle w:val="35"/>
        <w:ind w:firstLine="0" w:firstLineChars="0"/>
        <w:rPr>
          <w:rFonts w:hint="eastAsia"/>
          <w:lang w:eastAsia="zh-CN"/>
        </w:rPr>
      </w:pPr>
    </w:p>
    <w:p w14:paraId="5A997338">
      <w:pPr>
        <w:pStyle w:val="35"/>
        <w:ind w:firstLine="0" w:firstLineChars="0"/>
        <w:rPr>
          <w:rFonts w:hint="eastAsia"/>
          <w:lang w:eastAsia="zh-CN"/>
        </w:rPr>
      </w:pPr>
    </w:p>
    <w:p w14:paraId="40706DC2">
      <w:pPr>
        <w:pStyle w:val="35"/>
        <w:ind w:firstLine="0" w:firstLineChars="0"/>
        <w:rPr>
          <w:rFonts w:hint="eastAsia"/>
          <w:lang w:eastAsia="zh-CN"/>
        </w:rPr>
      </w:pPr>
    </w:p>
    <w:p w14:paraId="7D3C1E28">
      <w:pPr>
        <w:pStyle w:val="35"/>
        <w:ind w:firstLine="0" w:firstLineChars="0"/>
        <w:rPr>
          <w:rFonts w:hint="eastAsia"/>
          <w:lang w:eastAsia="zh-CN"/>
        </w:rPr>
      </w:pPr>
    </w:p>
    <w:p w14:paraId="12D8D77A">
      <w:pPr>
        <w:pStyle w:val="35"/>
        <w:ind w:firstLine="0" w:firstLineChars="0"/>
        <w:rPr>
          <w:rFonts w:hint="eastAsia"/>
          <w:lang w:eastAsia="zh-CN"/>
        </w:rPr>
      </w:pPr>
    </w:p>
    <w:p w14:paraId="7F414583">
      <w:pPr>
        <w:pStyle w:val="35"/>
        <w:ind w:firstLine="0" w:firstLineChars="0"/>
        <w:rPr>
          <w:rFonts w:hint="eastAsia"/>
          <w:lang w:eastAsia="zh-CN"/>
        </w:rPr>
      </w:pPr>
    </w:p>
    <w:p w14:paraId="284CBDFA">
      <w:pPr>
        <w:pStyle w:val="35"/>
        <w:ind w:firstLine="0" w:firstLineChars="0"/>
        <w:rPr>
          <w:rFonts w:hint="eastAsia"/>
          <w:lang w:eastAsia="zh-CN"/>
        </w:rPr>
      </w:pPr>
    </w:p>
    <w:p w14:paraId="47878894">
      <w:pPr>
        <w:pStyle w:val="35"/>
        <w:ind w:firstLine="0" w:firstLineChars="0"/>
        <w:rPr>
          <w:rFonts w:hint="eastAsia"/>
          <w:lang w:eastAsia="zh-CN"/>
        </w:rPr>
      </w:pPr>
    </w:p>
    <w:p w14:paraId="105CC5CD">
      <w:pPr>
        <w:pStyle w:val="35"/>
        <w:ind w:firstLine="0" w:firstLineChars="0"/>
        <w:rPr>
          <w:rFonts w:hint="eastAsia"/>
          <w:lang w:eastAsia="zh-CN"/>
        </w:rPr>
      </w:pPr>
    </w:p>
    <w:p w14:paraId="7E885FE8">
      <w:pPr>
        <w:pStyle w:val="35"/>
        <w:ind w:firstLine="0" w:firstLineChars="0"/>
        <w:rPr>
          <w:rFonts w:hint="eastAsia"/>
          <w:lang w:eastAsia="zh-CN"/>
        </w:rPr>
      </w:pPr>
    </w:p>
    <w:p w14:paraId="73B07B9A">
      <w:pPr>
        <w:pStyle w:val="35"/>
        <w:ind w:firstLine="0" w:firstLineChars="0"/>
        <w:rPr>
          <w:rFonts w:hint="eastAsia"/>
          <w:lang w:eastAsia="zh-CN"/>
        </w:rPr>
      </w:pPr>
    </w:p>
    <w:p w14:paraId="041DAF66">
      <w:pPr>
        <w:pStyle w:val="35"/>
        <w:ind w:firstLine="0" w:firstLineChars="0"/>
        <w:rPr>
          <w:rFonts w:hint="eastAsia"/>
          <w:lang w:eastAsia="zh-CN"/>
        </w:rPr>
      </w:pPr>
    </w:p>
    <w:p w14:paraId="4D361AFD">
      <w:pPr>
        <w:pStyle w:val="35"/>
        <w:ind w:firstLine="0" w:firstLineChars="0"/>
        <w:rPr>
          <w:rFonts w:hint="eastAsia"/>
          <w:lang w:eastAsia="zh-CN"/>
        </w:rPr>
      </w:pPr>
    </w:p>
    <w:p w14:paraId="0E16DAAF">
      <w:pPr>
        <w:pStyle w:val="35"/>
        <w:ind w:firstLine="0" w:firstLineChars="0"/>
        <w:rPr>
          <w:rFonts w:hint="eastAsia"/>
          <w:lang w:eastAsia="zh-CN"/>
        </w:rPr>
      </w:pPr>
    </w:p>
    <w:p w14:paraId="1FD38547">
      <w:pPr>
        <w:pStyle w:val="35"/>
        <w:ind w:firstLine="0" w:firstLineChars="0"/>
        <w:rPr>
          <w:rFonts w:hint="eastAsia"/>
          <w:lang w:eastAsia="zh-CN"/>
        </w:rPr>
      </w:pPr>
    </w:p>
    <w:p w14:paraId="1A2C92CD">
      <w:pPr>
        <w:pStyle w:val="35"/>
        <w:ind w:firstLine="0" w:firstLineChars="0"/>
        <w:rPr>
          <w:rFonts w:hint="eastAsia"/>
          <w:lang w:eastAsia="zh-CN"/>
        </w:rPr>
      </w:pPr>
    </w:p>
    <w:p w14:paraId="7FFDADC3">
      <w:pPr>
        <w:pStyle w:val="35"/>
        <w:ind w:firstLine="0" w:firstLineChars="0"/>
        <w:rPr>
          <w:rFonts w:hint="eastAsia"/>
          <w:lang w:eastAsia="zh-CN"/>
        </w:rPr>
      </w:pPr>
    </w:p>
    <w:p w14:paraId="75F5EB69">
      <w:pPr>
        <w:pStyle w:val="35"/>
        <w:ind w:firstLine="0" w:firstLineChars="0"/>
        <w:rPr>
          <w:rFonts w:hint="eastAsia"/>
          <w:lang w:eastAsia="zh-CN"/>
        </w:rPr>
      </w:pPr>
    </w:p>
    <w:p w14:paraId="5825802B">
      <w:pPr>
        <w:pStyle w:val="87"/>
        <w:numPr>
          <w:ilvl w:val="0"/>
          <w:numId w:val="0"/>
        </w:numPr>
        <w:spacing w:after="120"/>
        <w:ind w:leftChars="0"/>
        <w:jc w:val="center"/>
      </w:pPr>
      <w:r>
        <w:rPr>
          <w:rFonts w:hint="eastAsia"/>
          <w:lang w:val="en-US" w:eastAsia="zh-CN"/>
        </w:rPr>
        <w:t>附  录  B</w:t>
      </w:r>
      <w:r>
        <w:br w:type="textWrapping"/>
      </w:r>
      <w:r>
        <w:rPr>
          <w:rFonts w:hint="eastAsia"/>
        </w:rPr>
        <w:t>（资料性）</w:t>
      </w:r>
      <w:r>
        <w:rPr>
          <w:rFonts w:hint="eastAsia"/>
        </w:rPr>
        <w:br w:type="textWrapping"/>
      </w:r>
      <w:r>
        <w:rPr>
          <w:rFonts w:hint="eastAsia"/>
          <w:lang w:eastAsia="zh-CN"/>
        </w:rPr>
        <w:t>拍卖</w:t>
      </w:r>
      <w:r>
        <w:rPr>
          <w:rFonts w:hint="eastAsia"/>
        </w:rPr>
        <w:t>企业信用评价申报表</w:t>
      </w:r>
    </w:p>
    <w:p w14:paraId="01BA1E65">
      <w:pPr>
        <w:pStyle w:val="35"/>
        <w:ind w:firstLine="420"/>
      </w:pPr>
      <w:r>
        <w:rPr>
          <w:rFonts w:hint="eastAsia"/>
          <w:lang w:val="en-US" w:eastAsia="zh-CN"/>
        </w:rPr>
        <w:t>拍卖企业信用评价申请表见图B.1。</w:t>
      </w:r>
    </w:p>
    <w:p w14:paraId="2CFB3FCD">
      <w:pPr>
        <w:pStyle w:val="35"/>
        <w:ind w:firstLine="0" w:firstLineChars="0"/>
        <w:rPr>
          <w:rFonts w:hint="eastAsia"/>
          <w:lang w:eastAsia="zh-CN"/>
        </w:rPr>
      </w:pPr>
    </w:p>
    <w:p w14:paraId="1A8C7B1A">
      <w:pPr>
        <w:pStyle w:val="35"/>
        <w:ind w:firstLine="0" w:firstLineChars="0"/>
        <w:jc w:val="center"/>
        <w:rPr>
          <w:rFonts w:hint="eastAsia"/>
          <w:lang w:eastAsia="zh-CN"/>
        </w:rPr>
      </w:pPr>
      <w:r>
        <w:rPr>
          <w:rFonts w:hint="eastAsia"/>
          <w:lang w:eastAsia="zh-CN"/>
        </w:rPr>
        <w:drawing>
          <wp:inline distT="0" distB="0" distL="114300" distR="114300">
            <wp:extent cx="5143500" cy="7394575"/>
            <wp:effectExtent l="0" t="0" r="0" b="15875"/>
            <wp:docPr id="13" name="图片 13" descr="湖南省拍卖企业信用评价申请表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湖南省拍卖企业信用评价申请表_01"/>
                    <pic:cNvPicPr>
                      <a:picLocks noChangeAspect="1"/>
                    </pic:cNvPicPr>
                  </pic:nvPicPr>
                  <pic:blipFill>
                    <a:blip r:embed="rId41"/>
                    <a:srcRect l="2988" t="1863" r="2575" b="2146"/>
                    <a:stretch>
                      <a:fillRect/>
                    </a:stretch>
                  </pic:blipFill>
                  <pic:spPr>
                    <a:xfrm>
                      <a:off x="0" y="0"/>
                      <a:ext cx="5143500" cy="7394575"/>
                    </a:xfrm>
                    <a:prstGeom prst="rect">
                      <a:avLst/>
                    </a:prstGeom>
                  </pic:spPr>
                </pic:pic>
              </a:graphicData>
            </a:graphic>
          </wp:inline>
        </w:drawing>
      </w:r>
    </w:p>
    <w:p w14:paraId="5E4270C6">
      <w:pPr>
        <w:pStyle w:val="35"/>
        <w:ind w:firstLine="0" w:firstLineChars="0"/>
        <w:jc w:val="center"/>
        <w:rPr>
          <w:rFonts w:hint="eastAsia"/>
          <w:lang w:eastAsia="zh-CN"/>
        </w:rPr>
      </w:pPr>
      <w:r>
        <w:rPr>
          <w:rFonts w:hint="eastAsia" w:ascii="黑体" w:hAnsi="黑体" w:eastAsia="黑体" w:cs="黑体"/>
          <w:b w:val="0"/>
          <w:bCs w:val="0"/>
          <w:lang w:val="en-US" w:eastAsia="zh-CN"/>
        </w:rPr>
        <w:t>图B.1  拍卖企业信用评价申请表</w:t>
      </w:r>
    </w:p>
    <w:p w14:paraId="0AFAE67B">
      <w:pPr>
        <w:pStyle w:val="35"/>
        <w:ind w:firstLine="0" w:firstLineChars="0"/>
        <w:jc w:val="center"/>
        <w:rPr>
          <w:rFonts w:hint="eastAsia"/>
          <w:lang w:eastAsia="zh-CN"/>
        </w:rPr>
      </w:pPr>
      <w:r>
        <w:rPr>
          <w:rFonts w:hint="eastAsia"/>
          <w:lang w:eastAsia="zh-CN"/>
        </w:rPr>
        <w:drawing>
          <wp:inline distT="0" distB="0" distL="114300" distR="114300">
            <wp:extent cx="5855970" cy="8409305"/>
            <wp:effectExtent l="0" t="0" r="11430" b="10795"/>
            <wp:docPr id="15" name="图片 15" descr="湖南省拍卖企业信用评价申请表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湖南省拍卖企业信用评价申请表_03"/>
                    <pic:cNvPicPr>
                      <a:picLocks noChangeAspect="1"/>
                    </pic:cNvPicPr>
                  </pic:nvPicPr>
                  <pic:blipFill>
                    <a:blip r:embed="rId42"/>
                    <a:srcRect l="2832" t="2124" r="2746" b="2003"/>
                    <a:stretch>
                      <a:fillRect/>
                    </a:stretch>
                  </pic:blipFill>
                  <pic:spPr>
                    <a:xfrm>
                      <a:off x="0" y="0"/>
                      <a:ext cx="5855970" cy="8409305"/>
                    </a:xfrm>
                    <a:prstGeom prst="rect">
                      <a:avLst/>
                    </a:prstGeom>
                  </pic:spPr>
                </pic:pic>
              </a:graphicData>
            </a:graphic>
          </wp:inline>
        </w:drawing>
      </w:r>
    </w:p>
    <w:p w14:paraId="4D7733CF">
      <w:pPr>
        <w:pStyle w:val="35"/>
        <w:ind w:firstLine="0" w:firstLineChars="0"/>
        <w:jc w:val="center"/>
        <w:rPr>
          <w:rFonts w:hint="eastAsia"/>
          <w:lang w:eastAsia="zh-CN"/>
        </w:rPr>
      </w:pPr>
      <w:r>
        <w:rPr>
          <w:rFonts w:hint="default" w:ascii="黑体" w:hAnsi="黑体" w:eastAsia="黑体" w:cs="黑体"/>
          <w:b w:val="0"/>
          <w:bCs w:val="0"/>
          <w:lang w:val="en-US" w:eastAsia="zh-CN"/>
        </w:rPr>
        <w:t xml:space="preserve">图B.1  </w:t>
      </w:r>
      <w:r>
        <w:rPr>
          <w:rFonts w:hint="eastAsia" w:ascii="黑体" w:hAnsi="黑体" w:eastAsia="黑体" w:cs="黑体"/>
          <w:b w:val="0"/>
          <w:bCs w:val="0"/>
          <w:lang w:val="en-US" w:eastAsia="zh-CN"/>
        </w:rPr>
        <w:t>拍卖</w:t>
      </w:r>
      <w:r>
        <w:rPr>
          <w:rFonts w:hint="default" w:ascii="黑体" w:hAnsi="黑体" w:eastAsia="黑体" w:cs="黑体"/>
          <w:b w:val="0"/>
          <w:bCs w:val="0"/>
          <w:lang w:val="en-US" w:eastAsia="zh-CN"/>
        </w:rPr>
        <w:t>企业信用评价申请表</w:t>
      </w:r>
      <w:r>
        <w:rPr>
          <w:rFonts w:hint="eastAsia" w:ascii="宋体" w:hAnsi="Times New Roman" w:eastAsia="宋体" w:cs="Times New Roman"/>
          <w:sz w:val="21"/>
          <w:lang w:val="en-US" w:eastAsia="zh-CN" w:bidi="ar-SA"/>
        </w:rPr>
        <w:t>(续)</w:t>
      </w:r>
    </w:p>
    <w:p w14:paraId="585E7365">
      <w:pPr>
        <w:pStyle w:val="35"/>
        <w:ind w:firstLine="0" w:firstLineChars="0"/>
        <w:jc w:val="center"/>
        <w:rPr>
          <w:rFonts w:hint="eastAsia"/>
          <w:lang w:eastAsia="zh-CN"/>
        </w:rPr>
      </w:pPr>
      <w:r>
        <w:rPr>
          <w:rFonts w:hint="eastAsia"/>
          <w:lang w:eastAsia="zh-CN"/>
        </w:rPr>
        <w:drawing>
          <wp:inline distT="0" distB="0" distL="114300" distR="114300">
            <wp:extent cx="5814695" cy="8404225"/>
            <wp:effectExtent l="0" t="0" r="14605" b="15875"/>
            <wp:docPr id="16" name="图片 16" descr="湖南省拍卖企业信用评价申请表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湖南省拍卖企业信用评价申请表_04"/>
                    <pic:cNvPicPr>
                      <a:picLocks noChangeAspect="1"/>
                    </pic:cNvPicPr>
                  </pic:nvPicPr>
                  <pic:blipFill>
                    <a:blip r:embed="rId43"/>
                    <a:srcRect l="3379" t="2132" r="2843" b="2018"/>
                    <a:stretch>
                      <a:fillRect/>
                    </a:stretch>
                  </pic:blipFill>
                  <pic:spPr>
                    <a:xfrm>
                      <a:off x="0" y="0"/>
                      <a:ext cx="5814695" cy="8404225"/>
                    </a:xfrm>
                    <a:prstGeom prst="rect">
                      <a:avLst/>
                    </a:prstGeom>
                  </pic:spPr>
                </pic:pic>
              </a:graphicData>
            </a:graphic>
          </wp:inline>
        </w:drawing>
      </w:r>
    </w:p>
    <w:p w14:paraId="7FADD161">
      <w:pPr>
        <w:pStyle w:val="35"/>
        <w:ind w:firstLine="0" w:firstLineChars="0"/>
        <w:jc w:val="center"/>
        <w:rPr>
          <w:rFonts w:hint="eastAsia"/>
          <w:lang w:eastAsia="zh-CN"/>
        </w:rPr>
      </w:pPr>
      <w:r>
        <w:rPr>
          <w:rFonts w:hint="default" w:ascii="黑体" w:hAnsi="黑体" w:eastAsia="黑体" w:cs="黑体"/>
          <w:b w:val="0"/>
          <w:bCs w:val="0"/>
          <w:lang w:val="en-US" w:eastAsia="zh-CN"/>
        </w:rPr>
        <w:t xml:space="preserve">图B.1  </w:t>
      </w:r>
      <w:r>
        <w:rPr>
          <w:rFonts w:hint="eastAsia" w:ascii="黑体" w:hAnsi="黑体" w:eastAsia="黑体" w:cs="黑体"/>
          <w:b w:val="0"/>
          <w:bCs w:val="0"/>
          <w:lang w:val="en-US" w:eastAsia="zh-CN"/>
        </w:rPr>
        <w:t>拍卖</w:t>
      </w:r>
      <w:r>
        <w:rPr>
          <w:rFonts w:hint="default" w:ascii="黑体" w:hAnsi="黑体" w:eastAsia="黑体" w:cs="黑体"/>
          <w:b w:val="0"/>
          <w:bCs w:val="0"/>
          <w:lang w:val="en-US" w:eastAsia="zh-CN"/>
        </w:rPr>
        <w:t>企业信用评价申请表</w:t>
      </w:r>
      <w:r>
        <w:rPr>
          <w:rFonts w:hint="eastAsia" w:ascii="宋体" w:hAnsi="Times New Roman" w:eastAsia="宋体" w:cs="Times New Roman"/>
          <w:sz w:val="21"/>
          <w:lang w:val="en-US" w:eastAsia="zh-CN" w:bidi="ar-SA"/>
        </w:rPr>
        <w:t>(续)</w:t>
      </w:r>
    </w:p>
    <w:p w14:paraId="24B14ABB">
      <w:pPr>
        <w:pStyle w:val="35"/>
        <w:ind w:firstLine="0" w:firstLineChars="0"/>
        <w:jc w:val="center"/>
        <w:rPr>
          <w:rFonts w:hint="eastAsia"/>
          <w:lang w:eastAsia="zh-CN"/>
        </w:rPr>
      </w:pPr>
      <w:r>
        <w:rPr>
          <w:rFonts w:hint="eastAsia"/>
          <w:lang w:eastAsia="zh-CN"/>
        </w:rPr>
        <w:drawing>
          <wp:inline distT="0" distB="0" distL="114300" distR="114300">
            <wp:extent cx="5727700" cy="8260715"/>
            <wp:effectExtent l="0" t="0" r="6350" b="6985"/>
            <wp:docPr id="17" name="图片 17" descr="湖南省拍卖企业信用评价申请表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湖南省拍卖企业信用评价申请表_05"/>
                    <pic:cNvPicPr>
                      <a:picLocks noChangeAspect="1"/>
                    </pic:cNvPicPr>
                  </pic:nvPicPr>
                  <pic:blipFill>
                    <a:blip r:embed="rId44"/>
                    <a:srcRect l="3229" t="2245" r="2832" b="1972"/>
                    <a:stretch>
                      <a:fillRect/>
                    </a:stretch>
                  </pic:blipFill>
                  <pic:spPr>
                    <a:xfrm>
                      <a:off x="0" y="0"/>
                      <a:ext cx="5727700" cy="8260715"/>
                    </a:xfrm>
                    <a:prstGeom prst="rect">
                      <a:avLst/>
                    </a:prstGeom>
                  </pic:spPr>
                </pic:pic>
              </a:graphicData>
            </a:graphic>
          </wp:inline>
        </w:drawing>
      </w:r>
    </w:p>
    <w:p w14:paraId="6117CC67">
      <w:pPr>
        <w:pStyle w:val="35"/>
        <w:ind w:firstLine="0" w:firstLineChars="0"/>
        <w:jc w:val="center"/>
        <w:rPr>
          <w:rFonts w:hint="eastAsia"/>
          <w:lang w:eastAsia="zh-CN"/>
        </w:rPr>
      </w:pPr>
    </w:p>
    <w:p w14:paraId="5F54ECEC">
      <w:pPr>
        <w:pStyle w:val="35"/>
        <w:ind w:firstLine="0" w:firstLineChars="0"/>
        <w:jc w:val="center"/>
        <w:rPr>
          <w:rFonts w:hint="eastAsia" w:ascii="宋体" w:hAnsi="Times New Roman" w:eastAsia="宋体" w:cs="Times New Roman"/>
          <w:sz w:val="21"/>
          <w:lang w:val="en-US" w:eastAsia="zh-CN" w:bidi="ar-SA"/>
        </w:rPr>
      </w:pPr>
      <w:r>
        <w:rPr>
          <w:rFonts w:hint="default" w:ascii="黑体" w:hAnsi="黑体" w:eastAsia="黑体" w:cs="黑体"/>
          <w:b w:val="0"/>
          <w:bCs w:val="0"/>
          <w:lang w:val="en-US" w:eastAsia="zh-CN"/>
        </w:rPr>
        <w:t xml:space="preserve">图B.1  </w:t>
      </w:r>
      <w:r>
        <w:rPr>
          <w:rFonts w:hint="eastAsia" w:ascii="黑体" w:hAnsi="黑体" w:eastAsia="黑体" w:cs="黑体"/>
          <w:b w:val="0"/>
          <w:bCs w:val="0"/>
          <w:lang w:val="en-US" w:eastAsia="zh-CN"/>
        </w:rPr>
        <w:t>拍卖</w:t>
      </w:r>
      <w:r>
        <w:rPr>
          <w:rFonts w:hint="default" w:ascii="黑体" w:hAnsi="黑体" w:eastAsia="黑体" w:cs="黑体"/>
          <w:b w:val="0"/>
          <w:bCs w:val="0"/>
          <w:lang w:val="en-US" w:eastAsia="zh-CN"/>
        </w:rPr>
        <w:t>企业信用评价申请表</w:t>
      </w:r>
      <w:r>
        <w:rPr>
          <w:rFonts w:hint="eastAsia" w:ascii="宋体" w:hAnsi="Times New Roman" w:eastAsia="宋体" w:cs="Times New Roman"/>
          <w:sz w:val="21"/>
          <w:lang w:val="en-US" w:eastAsia="zh-CN" w:bidi="ar-SA"/>
        </w:rPr>
        <w:t>(续)</w:t>
      </w:r>
    </w:p>
    <w:p w14:paraId="71480354">
      <w:pPr>
        <w:pStyle w:val="35"/>
        <w:ind w:firstLine="0" w:firstLineChars="0"/>
        <w:jc w:val="center"/>
        <w:rPr>
          <w:rFonts w:hint="eastAsia" w:ascii="宋体" w:hAnsi="Times New Roman" w:eastAsia="宋体" w:cs="Times New Roman"/>
          <w:sz w:val="21"/>
          <w:lang w:val="en-US" w:eastAsia="zh-CN" w:bidi="ar-SA"/>
        </w:rPr>
      </w:pPr>
      <w:r>
        <w:rPr>
          <w:rFonts w:hint="eastAsia" w:ascii="宋体" w:hAnsi="Times New Roman" w:eastAsia="宋体" w:cs="Times New Roman"/>
          <w:sz w:val="21"/>
          <w:lang w:val="en-US" w:eastAsia="zh-CN" w:bidi="ar-SA"/>
        </w:rPr>
        <w:drawing>
          <wp:inline distT="0" distB="0" distL="114300" distR="114300">
            <wp:extent cx="5888355" cy="8393430"/>
            <wp:effectExtent l="0" t="0" r="17145" b="7620"/>
            <wp:docPr id="18" name="图片 18" descr="湖南省拍卖企业信用评价申请表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湖南省拍卖企业信用评价申请表_06"/>
                    <pic:cNvPicPr>
                      <a:picLocks noChangeAspect="1"/>
                    </pic:cNvPicPr>
                  </pic:nvPicPr>
                  <pic:blipFill>
                    <a:blip r:embed="rId45"/>
                    <a:srcRect l="2435" t="2223" r="2478" b="1942"/>
                    <a:stretch>
                      <a:fillRect/>
                    </a:stretch>
                  </pic:blipFill>
                  <pic:spPr>
                    <a:xfrm>
                      <a:off x="0" y="0"/>
                      <a:ext cx="5888355" cy="8393430"/>
                    </a:xfrm>
                    <a:prstGeom prst="rect">
                      <a:avLst/>
                    </a:prstGeom>
                  </pic:spPr>
                </pic:pic>
              </a:graphicData>
            </a:graphic>
          </wp:inline>
        </w:drawing>
      </w:r>
    </w:p>
    <w:p w14:paraId="20724C56">
      <w:pPr>
        <w:pStyle w:val="35"/>
        <w:ind w:firstLine="0" w:firstLineChars="0"/>
        <w:jc w:val="center"/>
        <w:rPr>
          <w:rFonts w:hint="eastAsia" w:ascii="宋体" w:hAnsi="Times New Roman" w:eastAsia="宋体" w:cs="Times New Roman"/>
          <w:sz w:val="21"/>
          <w:lang w:val="en-US" w:eastAsia="zh-CN" w:bidi="ar-SA"/>
        </w:rPr>
      </w:pPr>
      <w:r>
        <w:rPr>
          <w:rFonts w:hint="default" w:ascii="黑体" w:hAnsi="黑体" w:eastAsia="黑体" w:cs="黑体"/>
          <w:b w:val="0"/>
          <w:bCs w:val="0"/>
          <w:lang w:val="en-US" w:eastAsia="zh-CN"/>
        </w:rPr>
        <w:t xml:space="preserve">图B.1  </w:t>
      </w:r>
      <w:r>
        <w:rPr>
          <w:rFonts w:hint="eastAsia" w:ascii="黑体" w:hAnsi="黑体" w:eastAsia="黑体" w:cs="黑体"/>
          <w:b w:val="0"/>
          <w:bCs w:val="0"/>
          <w:lang w:val="en-US" w:eastAsia="zh-CN"/>
        </w:rPr>
        <w:t>拍卖</w:t>
      </w:r>
      <w:r>
        <w:rPr>
          <w:rFonts w:hint="default" w:ascii="黑体" w:hAnsi="黑体" w:eastAsia="黑体" w:cs="黑体"/>
          <w:b w:val="0"/>
          <w:bCs w:val="0"/>
          <w:lang w:val="en-US" w:eastAsia="zh-CN"/>
        </w:rPr>
        <w:t>企业信用评价申请表</w:t>
      </w:r>
      <w:r>
        <w:rPr>
          <w:rFonts w:hint="eastAsia" w:ascii="宋体" w:hAnsi="Times New Roman" w:eastAsia="宋体" w:cs="Times New Roman"/>
          <w:sz w:val="21"/>
          <w:lang w:val="en-US" w:eastAsia="zh-CN" w:bidi="ar-SA"/>
        </w:rPr>
        <w:t>(续)</w:t>
      </w:r>
    </w:p>
    <w:p w14:paraId="43FD54F7">
      <w:pPr>
        <w:pStyle w:val="35"/>
        <w:ind w:firstLine="0" w:firstLineChars="0"/>
        <w:jc w:val="center"/>
        <w:rPr>
          <w:rFonts w:hint="eastAsia" w:ascii="宋体" w:hAnsi="Times New Roman" w:eastAsia="宋体" w:cs="Times New Roman"/>
          <w:sz w:val="21"/>
          <w:lang w:val="en-US" w:eastAsia="zh-CN" w:bidi="ar-SA"/>
        </w:rPr>
      </w:pPr>
      <w:r>
        <w:rPr>
          <w:rFonts w:hint="eastAsia" w:ascii="宋体" w:hAnsi="Times New Roman" w:eastAsia="宋体" w:cs="Times New Roman"/>
          <w:sz w:val="21"/>
          <w:lang w:val="en-US" w:eastAsia="zh-CN" w:bidi="ar-SA"/>
        </w:rPr>
        <w:drawing>
          <wp:inline distT="0" distB="0" distL="114300" distR="114300">
            <wp:extent cx="5883275" cy="8411210"/>
            <wp:effectExtent l="0" t="0" r="3175" b="8890"/>
            <wp:docPr id="19" name="图片 19" descr="湖南省拍卖企业信用评价申请表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湖南省拍卖企业信用评价申请表_07"/>
                    <pic:cNvPicPr>
                      <a:picLocks noChangeAspect="1"/>
                    </pic:cNvPicPr>
                  </pic:nvPicPr>
                  <pic:blipFill>
                    <a:blip r:embed="rId46"/>
                    <a:srcRect l="2585" t="2048" r="2510" b="2003"/>
                    <a:stretch>
                      <a:fillRect/>
                    </a:stretch>
                  </pic:blipFill>
                  <pic:spPr>
                    <a:xfrm>
                      <a:off x="0" y="0"/>
                      <a:ext cx="5883275" cy="8411210"/>
                    </a:xfrm>
                    <a:prstGeom prst="rect">
                      <a:avLst/>
                    </a:prstGeom>
                  </pic:spPr>
                </pic:pic>
              </a:graphicData>
            </a:graphic>
          </wp:inline>
        </w:drawing>
      </w:r>
    </w:p>
    <w:p w14:paraId="69ABD01A">
      <w:pPr>
        <w:pStyle w:val="35"/>
        <w:ind w:firstLine="0" w:firstLineChars="0"/>
        <w:jc w:val="center"/>
        <w:rPr>
          <w:rFonts w:hint="eastAsia" w:ascii="宋体" w:hAnsi="Times New Roman" w:eastAsia="宋体" w:cs="Times New Roman"/>
          <w:sz w:val="21"/>
          <w:lang w:val="en-US" w:eastAsia="zh-CN" w:bidi="ar-SA"/>
        </w:rPr>
      </w:pPr>
      <w:r>
        <w:rPr>
          <w:rFonts w:hint="default" w:ascii="黑体" w:hAnsi="黑体" w:eastAsia="黑体" w:cs="黑体"/>
          <w:b w:val="0"/>
          <w:bCs w:val="0"/>
          <w:lang w:val="en-US" w:eastAsia="zh-CN"/>
        </w:rPr>
        <w:t xml:space="preserve">图B.1  </w:t>
      </w:r>
      <w:r>
        <w:rPr>
          <w:rFonts w:hint="eastAsia" w:ascii="黑体" w:hAnsi="黑体" w:eastAsia="黑体" w:cs="黑体"/>
          <w:b w:val="0"/>
          <w:bCs w:val="0"/>
          <w:lang w:val="en-US" w:eastAsia="zh-CN"/>
        </w:rPr>
        <w:t>拍卖</w:t>
      </w:r>
      <w:r>
        <w:rPr>
          <w:rFonts w:hint="default" w:ascii="黑体" w:hAnsi="黑体" w:eastAsia="黑体" w:cs="黑体"/>
          <w:b w:val="0"/>
          <w:bCs w:val="0"/>
          <w:lang w:val="en-US" w:eastAsia="zh-CN"/>
        </w:rPr>
        <w:t>企业信用评价申请表</w:t>
      </w:r>
      <w:r>
        <w:rPr>
          <w:rFonts w:hint="eastAsia" w:ascii="宋体" w:hAnsi="Times New Roman" w:eastAsia="宋体" w:cs="Times New Roman"/>
          <w:sz w:val="21"/>
          <w:lang w:val="en-US" w:eastAsia="zh-CN" w:bidi="ar-SA"/>
        </w:rPr>
        <w:t>(续)</w:t>
      </w:r>
    </w:p>
    <w:p w14:paraId="09C0A7BD">
      <w:pPr>
        <w:pStyle w:val="35"/>
        <w:ind w:firstLine="0" w:firstLineChars="0"/>
        <w:jc w:val="center"/>
        <w:rPr>
          <w:rFonts w:hint="eastAsia" w:ascii="宋体" w:hAnsi="Times New Roman" w:eastAsia="宋体" w:cs="Times New Roman"/>
          <w:sz w:val="21"/>
          <w:lang w:val="en-US" w:eastAsia="zh-CN" w:bidi="ar-SA"/>
        </w:rPr>
      </w:pPr>
    </w:p>
    <w:p w14:paraId="38C859BD">
      <w:pPr>
        <w:pStyle w:val="35"/>
        <w:ind w:firstLine="0" w:firstLineChars="0"/>
        <w:jc w:val="center"/>
        <w:rPr>
          <w:rFonts w:hint="eastAsia" w:ascii="宋体" w:hAnsi="Times New Roman" w:eastAsia="宋体" w:cs="Times New Roman"/>
          <w:sz w:val="21"/>
          <w:lang w:val="en-US" w:eastAsia="zh-CN" w:bidi="ar-SA"/>
        </w:rPr>
      </w:pPr>
      <w:r>
        <w:rPr>
          <w:rFonts w:hint="eastAsia" w:ascii="宋体" w:hAnsi="Times New Roman" w:eastAsia="宋体" w:cs="Times New Roman"/>
          <w:sz w:val="21"/>
          <w:lang w:val="en-US" w:eastAsia="zh-CN" w:bidi="ar-SA"/>
        </w:rPr>
        <w:drawing>
          <wp:inline distT="0" distB="0" distL="114300" distR="114300">
            <wp:extent cx="5788660" cy="8247380"/>
            <wp:effectExtent l="0" t="0" r="2540" b="1270"/>
            <wp:docPr id="20" name="图片 20" descr="湖南省拍卖企业信用评价申请表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湖南省拍卖企业信用评价申请表_08"/>
                    <pic:cNvPicPr>
                      <a:picLocks noChangeAspect="1"/>
                    </pic:cNvPicPr>
                  </pic:nvPicPr>
                  <pic:blipFill>
                    <a:blip r:embed="rId47"/>
                    <a:srcRect l="2253" t="2086" r="2521" b="1972"/>
                    <a:stretch>
                      <a:fillRect/>
                    </a:stretch>
                  </pic:blipFill>
                  <pic:spPr>
                    <a:xfrm>
                      <a:off x="0" y="0"/>
                      <a:ext cx="5788660" cy="8247380"/>
                    </a:xfrm>
                    <a:prstGeom prst="rect">
                      <a:avLst/>
                    </a:prstGeom>
                  </pic:spPr>
                </pic:pic>
              </a:graphicData>
            </a:graphic>
          </wp:inline>
        </w:drawing>
      </w:r>
    </w:p>
    <w:p w14:paraId="6158516A">
      <w:pPr>
        <w:pStyle w:val="35"/>
        <w:ind w:firstLine="0" w:firstLineChars="0"/>
        <w:jc w:val="center"/>
        <w:rPr>
          <w:rFonts w:hint="eastAsia" w:ascii="宋体" w:hAnsi="Times New Roman" w:eastAsia="宋体" w:cs="Times New Roman"/>
          <w:sz w:val="21"/>
          <w:lang w:val="en-US" w:eastAsia="zh-CN" w:bidi="ar-SA"/>
        </w:rPr>
        <w:sectPr>
          <w:headerReference r:id="rId26" w:type="default"/>
          <w:footerReference r:id="rId28" w:type="default"/>
          <w:headerReference r:id="rId27" w:type="even"/>
          <w:footerReference r:id="rId29" w:type="even"/>
          <w:pgSz w:w="11906" w:h="16838"/>
          <w:pgMar w:top="1928" w:right="1134" w:bottom="1134" w:left="1134" w:header="1418" w:footer="1134" w:gutter="284"/>
          <w:cols w:space="425" w:num="1"/>
          <w:formProt w:val="0"/>
          <w:docGrid w:linePitch="312" w:charSpace="0"/>
        </w:sectPr>
      </w:pPr>
      <w:r>
        <w:rPr>
          <w:rFonts w:hint="default" w:ascii="黑体" w:hAnsi="黑体" w:eastAsia="黑体" w:cs="黑体"/>
          <w:b w:val="0"/>
          <w:bCs w:val="0"/>
          <w:lang w:val="en-US" w:eastAsia="zh-CN"/>
        </w:rPr>
        <w:t xml:space="preserve">图B.1  </w:t>
      </w:r>
      <w:r>
        <w:rPr>
          <w:rFonts w:hint="eastAsia" w:ascii="黑体" w:hAnsi="黑体" w:eastAsia="黑体" w:cs="黑体"/>
          <w:b w:val="0"/>
          <w:bCs w:val="0"/>
          <w:lang w:val="en-US" w:eastAsia="zh-CN"/>
        </w:rPr>
        <w:t>拍卖</w:t>
      </w:r>
      <w:r>
        <w:rPr>
          <w:rFonts w:hint="default" w:ascii="黑体" w:hAnsi="黑体" w:eastAsia="黑体" w:cs="黑体"/>
          <w:b w:val="0"/>
          <w:bCs w:val="0"/>
          <w:lang w:val="en-US" w:eastAsia="zh-CN"/>
        </w:rPr>
        <w:t>企业信用评价申请表</w:t>
      </w:r>
      <w:r>
        <w:rPr>
          <w:rFonts w:hint="eastAsia" w:ascii="宋体" w:hAnsi="Times New Roman" w:eastAsia="宋体" w:cs="Times New Roman"/>
          <w:sz w:val="21"/>
          <w:lang w:val="en-US" w:eastAsia="zh-CN" w:bidi="ar-SA"/>
        </w:rPr>
        <w:t>(续</w:t>
      </w:r>
      <w:r>
        <w:rPr>
          <w:rFonts w:hint="eastAsia" w:ascii="宋体" w:cs="Times New Roman"/>
          <w:sz w:val="21"/>
          <w:lang w:val="en-US" w:eastAsia="zh-CN" w:bidi="ar-SA"/>
        </w:rPr>
        <w:t>）</w:t>
      </w:r>
    </w:p>
    <w:p w14:paraId="30AA2F6F">
      <w:pPr>
        <w:pStyle w:val="35"/>
        <w:ind w:left="0" w:leftChars="0" w:firstLine="0" w:firstLineChars="0"/>
        <w:rPr>
          <w:rFonts w:hint="eastAsia"/>
          <w:lang w:val="en-US" w:eastAsia="zh-CN"/>
        </w:rPr>
      </w:pPr>
    </w:p>
    <w:p w14:paraId="1B999D20">
      <w:pPr>
        <w:pStyle w:val="87"/>
        <w:numPr>
          <w:ilvl w:val="0"/>
          <w:numId w:val="0"/>
        </w:numPr>
        <w:spacing w:after="120"/>
        <w:ind w:leftChars="0"/>
        <w:jc w:val="center"/>
      </w:pPr>
      <w:bookmarkStart w:id="83" w:name="_Toc22532"/>
      <w:bookmarkStart w:id="84" w:name="_Toc7140"/>
      <w:bookmarkStart w:id="85" w:name="_Toc431"/>
      <w:r>
        <w:rPr>
          <w:rFonts w:hint="eastAsia"/>
          <w:lang w:val="en-US" w:eastAsia="zh-CN"/>
        </w:rPr>
        <w:t>附  录  C</w:t>
      </w:r>
      <w:r>
        <w:br w:type="textWrapping"/>
      </w:r>
      <w:r>
        <w:rPr>
          <w:rFonts w:hint="eastAsia"/>
        </w:rPr>
        <w:t>（资料性）</w:t>
      </w:r>
      <w:r>
        <w:rPr>
          <w:rFonts w:hint="eastAsia"/>
        </w:rPr>
        <w:br w:type="textWrapping"/>
      </w:r>
      <w:r>
        <w:rPr>
          <w:rFonts w:hint="eastAsia"/>
          <w:lang w:eastAsia="zh-CN"/>
        </w:rPr>
        <w:t>拍卖</w:t>
      </w:r>
      <w:r>
        <w:rPr>
          <w:rFonts w:hint="eastAsia"/>
        </w:rPr>
        <w:t>企业信用评价认定审批表</w:t>
      </w:r>
      <w:bookmarkEnd w:id="83"/>
      <w:bookmarkEnd w:id="84"/>
      <w:bookmarkEnd w:id="85"/>
    </w:p>
    <w:p w14:paraId="564A208E">
      <w:pPr>
        <w:pStyle w:val="35"/>
        <w:ind w:left="0" w:leftChars="0" w:firstLine="0" w:firstLineChars="0"/>
        <w:jc w:val="both"/>
        <w:rPr>
          <w:rFonts w:hint="eastAsia" w:ascii="宋体" w:hAnsi="宋体" w:cs="Times New Roman"/>
          <w:kern w:val="0"/>
          <w:sz w:val="21"/>
          <w:szCs w:val="20"/>
          <w:lang w:val="en-US" w:eastAsia="zh-CN" w:bidi="ar-SA"/>
        </w:rPr>
      </w:pPr>
      <w:r>
        <w:rPr>
          <w:rFonts w:hint="eastAsia" w:ascii="宋体" w:hAnsi="宋体" w:cs="Times New Roman"/>
          <w:kern w:val="0"/>
          <w:sz w:val="21"/>
          <w:szCs w:val="20"/>
          <w:lang w:val="en-US" w:eastAsia="zh-CN" w:bidi="ar-SA"/>
        </w:rPr>
        <w:t>表C.1给出了拍卖企业信用评价的审批表。</w:t>
      </w:r>
    </w:p>
    <w:p w14:paraId="72022522">
      <w:pPr>
        <w:pStyle w:val="35"/>
        <w:ind w:left="0" w:leftChars="0" w:firstLine="0" w:firstLineChars="0"/>
        <w:jc w:val="center"/>
        <w:rPr>
          <w:rFonts w:hint="eastAsia" w:ascii="宋体" w:hAnsi="宋体" w:cs="Times New Roman"/>
          <w:kern w:val="0"/>
          <w:sz w:val="21"/>
          <w:szCs w:val="20"/>
          <w:lang w:val="en-US" w:eastAsia="zh-CN" w:bidi="ar-SA"/>
        </w:rPr>
      </w:pPr>
      <w:r>
        <w:rPr>
          <w:rFonts w:hint="eastAsia" w:ascii="宋体" w:hAnsi="宋体" w:cs="Times New Roman"/>
          <w:kern w:val="0"/>
          <w:sz w:val="21"/>
          <w:szCs w:val="20"/>
          <w:lang w:val="en-US" w:eastAsia="zh-CN" w:bidi="ar-SA"/>
        </w:rPr>
        <w:t>表C.1  拍卖企业信用评价认定审批表</w:t>
      </w:r>
    </w:p>
    <w:tbl>
      <w:tblPr>
        <w:tblStyle w:val="27"/>
        <w:tblW w:w="9562"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0" w:type="dxa"/>
          <w:bottom w:w="0" w:type="dxa"/>
          <w:right w:w="100" w:type="dxa"/>
        </w:tblCellMar>
      </w:tblPr>
      <w:tblGrid>
        <w:gridCol w:w="2151"/>
        <w:gridCol w:w="2267"/>
        <w:gridCol w:w="1980"/>
        <w:gridCol w:w="3164"/>
      </w:tblGrid>
      <w:tr w14:paraId="63FF8C5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567" w:hRule="atLeast"/>
          <w:tblHeader/>
          <w:jc w:val="center"/>
        </w:trPr>
        <w:tc>
          <w:tcPr>
            <w:tcW w:w="2151" w:type="dxa"/>
            <w:tcBorders>
              <w:bottom w:val="single" w:color="auto" w:sz="8" w:space="0"/>
            </w:tcBorders>
            <w:vAlign w:val="center"/>
          </w:tcPr>
          <w:p w14:paraId="10631706">
            <w:pPr>
              <w:autoSpaceDE w:val="0"/>
              <w:adjustRightInd/>
              <w:spacing w:line="240" w:lineRule="auto"/>
              <w:jc w:val="center"/>
              <w:rPr>
                <w:rFonts w:hint="eastAsia" w:ascii="宋体" w:hAnsi="宋体" w:eastAsia="宋体" w:cs="Times New Roman"/>
                <w:kern w:val="0"/>
                <w:sz w:val="21"/>
                <w:szCs w:val="20"/>
                <w:lang w:val="en-US" w:eastAsia="zh-CN" w:bidi="ar-SA"/>
              </w:rPr>
            </w:pPr>
            <w:r>
              <w:rPr>
                <w:rFonts w:hint="eastAsia" w:ascii="宋体" w:hAnsi="宋体" w:eastAsia="宋体" w:cs="Times New Roman"/>
                <w:kern w:val="0"/>
                <w:sz w:val="21"/>
                <w:szCs w:val="20"/>
                <w:lang w:val="en-US" w:eastAsia="zh-CN" w:bidi="ar-SA"/>
              </w:rPr>
              <w:t>企业名称</w:t>
            </w:r>
          </w:p>
        </w:tc>
        <w:tc>
          <w:tcPr>
            <w:tcW w:w="2267" w:type="dxa"/>
            <w:tcBorders>
              <w:bottom w:val="single" w:color="auto" w:sz="8" w:space="0"/>
            </w:tcBorders>
            <w:vAlign w:val="center"/>
          </w:tcPr>
          <w:p w14:paraId="61DEBB33">
            <w:pPr>
              <w:pStyle w:val="183"/>
              <w:rPr>
                <w:rFonts w:hint="eastAsia" w:ascii="宋体" w:hAnsi="宋体" w:eastAsia="宋体" w:cs="Times New Roman"/>
                <w:kern w:val="0"/>
                <w:sz w:val="21"/>
                <w:szCs w:val="20"/>
                <w:lang w:val="en-US" w:eastAsia="zh-CN" w:bidi="ar-SA"/>
              </w:rPr>
            </w:pPr>
          </w:p>
        </w:tc>
        <w:tc>
          <w:tcPr>
            <w:tcW w:w="1980" w:type="dxa"/>
            <w:tcBorders>
              <w:bottom w:val="single" w:color="auto" w:sz="8" w:space="0"/>
            </w:tcBorders>
            <w:vAlign w:val="center"/>
          </w:tcPr>
          <w:p w14:paraId="03A17DCC">
            <w:pPr>
              <w:autoSpaceDE w:val="0"/>
              <w:adjustRightInd/>
              <w:spacing w:line="240" w:lineRule="auto"/>
              <w:jc w:val="center"/>
              <w:rPr>
                <w:rFonts w:hint="eastAsia" w:ascii="宋体" w:hAnsi="宋体" w:eastAsia="宋体" w:cs="Times New Roman"/>
                <w:kern w:val="0"/>
                <w:sz w:val="21"/>
                <w:szCs w:val="20"/>
                <w:lang w:val="en-US" w:eastAsia="zh-CN" w:bidi="ar-SA"/>
              </w:rPr>
            </w:pPr>
            <w:r>
              <w:rPr>
                <w:rFonts w:hint="eastAsia" w:ascii="宋体" w:hAnsi="宋体" w:eastAsia="宋体" w:cs="Times New Roman"/>
                <w:kern w:val="0"/>
                <w:sz w:val="21"/>
                <w:szCs w:val="20"/>
                <w:lang w:val="en-US" w:eastAsia="zh-CN" w:bidi="ar-SA"/>
              </w:rPr>
              <w:t>成立时间</w:t>
            </w:r>
          </w:p>
        </w:tc>
        <w:tc>
          <w:tcPr>
            <w:tcW w:w="3164" w:type="dxa"/>
            <w:tcBorders>
              <w:bottom w:val="single" w:color="auto" w:sz="8" w:space="0"/>
            </w:tcBorders>
            <w:vAlign w:val="center"/>
          </w:tcPr>
          <w:p w14:paraId="414465D8">
            <w:pPr>
              <w:pStyle w:val="183"/>
              <w:rPr>
                <w:rFonts w:hint="eastAsia" w:ascii="宋体" w:hAnsi="宋体" w:eastAsia="宋体" w:cs="Times New Roman"/>
                <w:kern w:val="0"/>
                <w:sz w:val="21"/>
                <w:szCs w:val="20"/>
                <w:lang w:val="en-US" w:eastAsia="zh-CN" w:bidi="ar-SA"/>
              </w:rPr>
            </w:pPr>
          </w:p>
        </w:tc>
      </w:tr>
      <w:tr w14:paraId="5079481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567" w:hRule="atLeast"/>
          <w:jc w:val="center"/>
        </w:trPr>
        <w:tc>
          <w:tcPr>
            <w:tcW w:w="2151" w:type="dxa"/>
            <w:tcBorders>
              <w:top w:val="single" w:color="auto" w:sz="8" w:space="0"/>
            </w:tcBorders>
            <w:vAlign w:val="center"/>
          </w:tcPr>
          <w:p w14:paraId="6243851E">
            <w:pPr>
              <w:autoSpaceDE w:val="0"/>
              <w:adjustRightInd/>
              <w:spacing w:line="240" w:lineRule="auto"/>
              <w:jc w:val="center"/>
              <w:rPr>
                <w:rFonts w:hint="default" w:ascii="宋体" w:hAnsi="宋体" w:eastAsia="宋体" w:cs="Times New Roman"/>
                <w:kern w:val="0"/>
                <w:sz w:val="21"/>
                <w:szCs w:val="20"/>
                <w:lang w:val="en-US" w:eastAsia="zh-CN" w:bidi="ar-SA"/>
              </w:rPr>
            </w:pPr>
            <w:r>
              <w:rPr>
                <w:rFonts w:hint="eastAsia" w:ascii="宋体" w:hAnsi="宋体" w:eastAsia="宋体" w:cs="Times New Roman"/>
                <w:kern w:val="0"/>
                <w:sz w:val="21"/>
                <w:szCs w:val="20"/>
                <w:lang w:val="en-US" w:eastAsia="zh-CN" w:bidi="ar-SA"/>
              </w:rPr>
              <w:t>统一社会信用代码</w:t>
            </w:r>
          </w:p>
        </w:tc>
        <w:tc>
          <w:tcPr>
            <w:tcW w:w="2267" w:type="dxa"/>
            <w:tcBorders>
              <w:top w:val="single" w:color="auto" w:sz="8" w:space="0"/>
            </w:tcBorders>
            <w:vAlign w:val="center"/>
          </w:tcPr>
          <w:p w14:paraId="4287AC0B">
            <w:pPr>
              <w:pStyle w:val="183"/>
              <w:rPr>
                <w:rFonts w:hint="eastAsia" w:ascii="宋体" w:hAnsi="宋体" w:eastAsia="宋体" w:cs="Times New Roman"/>
                <w:kern w:val="0"/>
                <w:sz w:val="21"/>
                <w:szCs w:val="20"/>
                <w:lang w:val="en-US" w:eastAsia="zh-CN" w:bidi="ar-SA"/>
              </w:rPr>
            </w:pPr>
          </w:p>
        </w:tc>
        <w:tc>
          <w:tcPr>
            <w:tcW w:w="1980" w:type="dxa"/>
            <w:tcBorders>
              <w:top w:val="single" w:color="auto" w:sz="8" w:space="0"/>
            </w:tcBorders>
            <w:vAlign w:val="center"/>
          </w:tcPr>
          <w:p w14:paraId="134FF521">
            <w:pPr>
              <w:autoSpaceDE w:val="0"/>
              <w:adjustRightInd/>
              <w:spacing w:line="240" w:lineRule="auto"/>
              <w:jc w:val="center"/>
              <w:rPr>
                <w:rFonts w:hint="default" w:ascii="宋体" w:hAnsi="宋体" w:eastAsia="宋体" w:cs="Times New Roman"/>
                <w:kern w:val="0"/>
                <w:sz w:val="21"/>
                <w:szCs w:val="20"/>
                <w:lang w:val="en-US" w:eastAsia="zh-CN" w:bidi="ar-SA"/>
              </w:rPr>
            </w:pPr>
            <w:r>
              <w:rPr>
                <w:rFonts w:hint="eastAsia" w:ascii="宋体" w:hAnsi="宋体" w:cs="Times New Roman"/>
                <w:kern w:val="0"/>
                <w:sz w:val="21"/>
                <w:szCs w:val="20"/>
                <w:lang w:val="en-US" w:eastAsia="zh-CN" w:bidi="ar-SA"/>
              </w:rPr>
              <w:t>实际</w:t>
            </w:r>
            <w:r>
              <w:rPr>
                <w:rFonts w:hint="eastAsia" w:ascii="宋体" w:hAnsi="宋体" w:eastAsia="宋体" w:cs="Times New Roman"/>
                <w:kern w:val="0"/>
                <w:sz w:val="21"/>
                <w:szCs w:val="20"/>
                <w:lang w:val="en-US" w:eastAsia="zh-CN" w:bidi="ar-SA"/>
              </w:rPr>
              <w:t>运营</w:t>
            </w:r>
            <w:r>
              <w:rPr>
                <w:rFonts w:hint="eastAsia" w:ascii="宋体" w:hAnsi="宋体" w:cs="Times New Roman"/>
                <w:kern w:val="0"/>
                <w:sz w:val="21"/>
                <w:szCs w:val="20"/>
                <w:lang w:val="en-US" w:eastAsia="zh-CN" w:bidi="ar-SA"/>
              </w:rPr>
              <w:t>年限</w:t>
            </w:r>
          </w:p>
        </w:tc>
        <w:tc>
          <w:tcPr>
            <w:tcW w:w="3164" w:type="dxa"/>
            <w:tcBorders>
              <w:top w:val="single" w:color="auto" w:sz="8" w:space="0"/>
            </w:tcBorders>
            <w:vAlign w:val="center"/>
          </w:tcPr>
          <w:p w14:paraId="0F23DBCB">
            <w:pPr>
              <w:pStyle w:val="183"/>
              <w:rPr>
                <w:rFonts w:hint="eastAsia" w:ascii="宋体" w:hAnsi="宋体" w:eastAsia="宋体" w:cs="Times New Roman"/>
                <w:kern w:val="0"/>
                <w:sz w:val="21"/>
                <w:szCs w:val="20"/>
                <w:lang w:val="en-US" w:eastAsia="zh-CN" w:bidi="ar-SA"/>
              </w:rPr>
            </w:pPr>
          </w:p>
        </w:tc>
      </w:tr>
      <w:tr w14:paraId="46C484F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567" w:hRule="atLeast"/>
          <w:jc w:val="center"/>
        </w:trPr>
        <w:tc>
          <w:tcPr>
            <w:tcW w:w="2151" w:type="dxa"/>
            <w:vAlign w:val="center"/>
          </w:tcPr>
          <w:p w14:paraId="5B85DEB0">
            <w:pPr>
              <w:autoSpaceDE w:val="0"/>
              <w:adjustRightInd/>
              <w:spacing w:line="240" w:lineRule="auto"/>
              <w:jc w:val="center"/>
              <w:rPr>
                <w:rFonts w:hint="eastAsia" w:ascii="宋体" w:hAnsi="宋体" w:eastAsia="宋体" w:cs="Times New Roman"/>
                <w:kern w:val="0"/>
                <w:sz w:val="21"/>
                <w:szCs w:val="20"/>
                <w:lang w:val="en-US" w:eastAsia="zh-CN" w:bidi="ar-SA"/>
              </w:rPr>
            </w:pPr>
            <w:r>
              <w:rPr>
                <w:rFonts w:hint="eastAsia" w:ascii="宋体" w:hAnsi="宋体" w:eastAsia="宋体" w:cs="Times New Roman"/>
                <w:kern w:val="0"/>
                <w:sz w:val="21"/>
                <w:szCs w:val="20"/>
                <w:lang w:val="en-US" w:eastAsia="zh-CN" w:bidi="ar-SA"/>
              </w:rPr>
              <w:t>通讯地址</w:t>
            </w:r>
          </w:p>
        </w:tc>
        <w:tc>
          <w:tcPr>
            <w:tcW w:w="2267" w:type="dxa"/>
            <w:vAlign w:val="center"/>
          </w:tcPr>
          <w:p w14:paraId="60F3BBE8">
            <w:pPr>
              <w:pStyle w:val="183"/>
              <w:rPr>
                <w:rFonts w:hint="eastAsia" w:ascii="宋体" w:hAnsi="宋体" w:eastAsia="宋体" w:cs="Times New Roman"/>
                <w:kern w:val="0"/>
                <w:sz w:val="21"/>
                <w:szCs w:val="20"/>
                <w:lang w:val="en-US" w:eastAsia="zh-CN" w:bidi="ar-SA"/>
              </w:rPr>
            </w:pPr>
          </w:p>
        </w:tc>
        <w:tc>
          <w:tcPr>
            <w:tcW w:w="1980" w:type="dxa"/>
            <w:vAlign w:val="center"/>
          </w:tcPr>
          <w:p w14:paraId="7EAD375E">
            <w:pPr>
              <w:autoSpaceDE w:val="0"/>
              <w:adjustRightInd/>
              <w:spacing w:line="240" w:lineRule="auto"/>
              <w:jc w:val="center"/>
              <w:rPr>
                <w:rFonts w:hint="eastAsia" w:ascii="宋体" w:hAnsi="宋体" w:eastAsia="宋体" w:cs="Times New Roman"/>
                <w:kern w:val="0"/>
                <w:sz w:val="21"/>
                <w:szCs w:val="20"/>
                <w:lang w:val="en-US" w:eastAsia="zh-CN" w:bidi="ar-SA"/>
              </w:rPr>
            </w:pPr>
            <w:r>
              <w:rPr>
                <w:rFonts w:hint="eastAsia" w:ascii="宋体" w:hAnsi="宋体" w:eastAsia="宋体" w:cs="Times New Roman"/>
                <w:kern w:val="0"/>
                <w:sz w:val="21"/>
                <w:szCs w:val="20"/>
                <w:lang w:val="en-US" w:eastAsia="zh-CN" w:bidi="ar-SA"/>
              </w:rPr>
              <w:t>邮政编码</w:t>
            </w:r>
          </w:p>
        </w:tc>
        <w:tc>
          <w:tcPr>
            <w:tcW w:w="3164" w:type="dxa"/>
            <w:vAlign w:val="center"/>
          </w:tcPr>
          <w:p w14:paraId="2E3F3510">
            <w:pPr>
              <w:pStyle w:val="183"/>
              <w:rPr>
                <w:rFonts w:hint="eastAsia" w:ascii="宋体" w:hAnsi="宋体" w:eastAsia="宋体" w:cs="Times New Roman"/>
                <w:kern w:val="0"/>
                <w:sz w:val="21"/>
                <w:szCs w:val="20"/>
                <w:lang w:val="en-US" w:eastAsia="zh-CN" w:bidi="ar-SA"/>
              </w:rPr>
            </w:pPr>
          </w:p>
        </w:tc>
      </w:tr>
      <w:tr w14:paraId="147F664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567" w:hRule="atLeast"/>
          <w:jc w:val="center"/>
        </w:trPr>
        <w:tc>
          <w:tcPr>
            <w:tcW w:w="2151" w:type="dxa"/>
            <w:vAlign w:val="center"/>
          </w:tcPr>
          <w:p w14:paraId="4106A66E">
            <w:pPr>
              <w:autoSpaceDE w:val="0"/>
              <w:adjustRightInd/>
              <w:spacing w:line="240" w:lineRule="auto"/>
              <w:jc w:val="center"/>
              <w:rPr>
                <w:rFonts w:hint="eastAsia" w:ascii="宋体" w:hAnsi="宋体" w:eastAsia="宋体" w:cs="Times New Roman"/>
                <w:kern w:val="0"/>
                <w:sz w:val="21"/>
                <w:szCs w:val="20"/>
                <w:lang w:val="en-US" w:eastAsia="zh-CN" w:bidi="ar-SA"/>
              </w:rPr>
            </w:pPr>
            <w:r>
              <w:rPr>
                <w:rFonts w:hint="eastAsia" w:ascii="宋体" w:hAnsi="宋体" w:eastAsia="宋体" w:cs="Times New Roman"/>
                <w:kern w:val="0"/>
                <w:sz w:val="21"/>
                <w:szCs w:val="20"/>
                <w:lang w:val="en-US" w:eastAsia="zh-CN" w:bidi="ar-SA"/>
              </w:rPr>
              <w:t>所属行业</w:t>
            </w:r>
          </w:p>
        </w:tc>
        <w:tc>
          <w:tcPr>
            <w:tcW w:w="2267" w:type="dxa"/>
            <w:vAlign w:val="center"/>
          </w:tcPr>
          <w:p w14:paraId="3719D6F9">
            <w:pPr>
              <w:pStyle w:val="183"/>
              <w:rPr>
                <w:rFonts w:hint="default" w:ascii="宋体" w:hAnsi="宋体" w:eastAsia="宋体" w:cs="Times New Roman"/>
                <w:kern w:val="0"/>
                <w:sz w:val="21"/>
                <w:szCs w:val="20"/>
                <w:lang w:val="en-US" w:eastAsia="zh-CN" w:bidi="ar-SA"/>
              </w:rPr>
            </w:pPr>
            <w:r>
              <w:rPr>
                <w:rFonts w:hint="eastAsia" w:ascii="宋体" w:hAnsi="宋体" w:cs="Times New Roman"/>
                <w:kern w:val="0"/>
                <w:sz w:val="21"/>
                <w:szCs w:val="20"/>
                <w:lang w:val="en-US" w:eastAsia="zh-CN" w:bidi="ar-SA"/>
              </w:rPr>
              <w:t>拍卖行业</w:t>
            </w:r>
          </w:p>
        </w:tc>
        <w:tc>
          <w:tcPr>
            <w:tcW w:w="1980" w:type="dxa"/>
            <w:vAlign w:val="center"/>
          </w:tcPr>
          <w:p w14:paraId="11702169">
            <w:pPr>
              <w:autoSpaceDE w:val="0"/>
              <w:adjustRightInd/>
              <w:spacing w:line="240" w:lineRule="auto"/>
              <w:jc w:val="center"/>
              <w:rPr>
                <w:rFonts w:hint="eastAsia" w:ascii="宋体" w:hAnsi="宋体" w:eastAsia="宋体" w:cs="Times New Roman"/>
                <w:kern w:val="0"/>
                <w:sz w:val="21"/>
                <w:szCs w:val="20"/>
                <w:lang w:val="en-US" w:eastAsia="zh-CN" w:bidi="ar-SA"/>
              </w:rPr>
            </w:pPr>
            <w:r>
              <w:rPr>
                <w:rFonts w:hint="eastAsia" w:ascii="宋体" w:hAnsi="宋体" w:eastAsia="宋体" w:cs="Times New Roman"/>
                <w:kern w:val="0"/>
                <w:sz w:val="21"/>
                <w:szCs w:val="20"/>
                <w:lang w:val="en-US" w:eastAsia="zh-CN" w:bidi="ar-SA"/>
              </w:rPr>
              <w:t>企业规模</w:t>
            </w:r>
          </w:p>
        </w:tc>
        <w:tc>
          <w:tcPr>
            <w:tcW w:w="3164" w:type="dxa"/>
            <w:vAlign w:val="center"/>
          </w:tcPr>
          <w:p w14:paraId="23881B76">
            <w:pPr>
              <w:pStyle w:val="183"/>
              <w:rPr>
                <w:rFonts w:hint="eastAsia" w:ascii="宋体" w:hAnsi="宋体" w:eastAsia="宋体" w:cs="Times New Roman"/>
                <w:kern w:val="0"/>
                <w:sz w:val="21"/>
                <w:szCs w:val="20"/>
                <w:lang w:val="en-US" w:eastAsia="zh-CN" w:bidi="ar-SA"/>
              </w:rPr>
            </w:pPr>
            <w:r>
              <w:rPr>
                <w:rFonts w:hint="eastAsia" w:ascii="宋体" w:hAnsi="宋体" w:eastAsia="宋体" w:cs="Times New Roman"/>
                <w:kern w:val="0"/>
                <w:sz w:val="21"/>
                <w:szCs w:val="20"/>
                <w:lang w:val="en-US" w:eastAsia="zh-CN" w:bidi="ar-SA"/>
              </w:rPr>
              <w:t>□大型 □中型 □小型 □微型</w:t>
            </w:r>
          </w:p>
        </w:tc>
      </w:tr>
      <w:tr w14:paraId="616878B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567" w:hRule="atLeast"/>
          <w:jc w:val="center"/>
        </w:trPr>
        <w:tc>
          <w:tcPr>
            <w:tcW w:w="2151" w:type="dxa"/>
            <w:vAlign w:val="center"/>
          </w:tcPr>
          <w:p w14:paraId="0F92DD3B">
            <w:pPr>
              <w:autoSpaceDE w:val="0"/>
              <w:adjustRightInd/>
              <w:spacing w:line="240" w:lineRule="auto"/>
              <w:jc w:val="center"/>
              <w:rPr>
                <w:rFonts w:hint="eastAsia" w:ascii="宋体" w:hAnsi="宋体" w:eastAsia="宋体" w:cs="Times New Roman"/>
                <w:kern w:val="0"/>
                <w:sz w:val="21"/>
                <w:szCs w:val="20"/>
                <w:lang w:val="en-US" w:eastAsia="zh-CN" w:bidi="ar-SA"/>
              </w:rPr>
            </w:pPr>
            <w:r>
              <w:rPr>
                <w:rFonts w:hint="eastAsia" w:ascii="宋体" w:hAnsi="宋体" w:eastAsia="宋体" w:cs="Times New Roman"/>
                <w:kern w:val="0"/>
                <w:sz w:val="21"/>
                <w:szCs w:val="20"/>
                <w:lang w:val="en-US" w:eastAsia="zh-CN" w:bidi="ar-SA"/>
              </w:rPr>
              <w:t>拍卖经营批准证书编号</w:t>
            </w:r>
          </w:p>
        </w:tc>
        <w:tc>
          <w:tcPr>
            <w:tcW w:w="2267" w:type="dxa"/>
            <w:vAlign w:val="center"/>
          </w:tcPr>
          <w:p w14:paraId="08B627C4">
            <w:pPr>
              <w:pStyle w:val="183"/>
              <w:rPr>
                <w:rFonts w:hint="eastAsia" w:ascii="宋体" w:hAnsi="宋体" w:eastAsia="宋体" w:cs="Times New Roman"/>
                <w:kern w:val="0"/>
                <w:sz w:val="21"/>
                <w:szCs w:val="20"/>
                <w:lang w:val="en-US" w:eastAsia="zh-CN" w:bidi="ar-SA"/>
              </w:rPr>
            </w:pPr>
          </w:p>
        </w:tc>
        <w:tc>
          <w:tcPr>
            <w:tcW w:w="1980" w:type="dxa"/>
            <w:vAlign w:val="center"/>
          </w:tcPr>
          <w:p w14:paraId="648553DC">
            <w:pPr>
              <w:autoSpaceDE w:val="0"/>
              <w:adjustRightInd/>
              <w:spacing w:line="240" w:lineRule="auto"/>
              <w:jc w:val="center"/>
              <w:rPr>
                <w:rFonts w:hint="eastAsia" w:ascii="宋体" w:hAnsi="宋体" w:eastAsia="宋体" w:cs="Times New Roman"/>
                <w:kern w:val="0"/>
                <w:sz w:val="21"/>
                <w:szCs w:val="20"/>
                <w:lang w:val="en-US" w:eastAsia="zh-CN" w:bidi="ar-SA"/>
              </w:rPr>
            </w:pPr>
            <w:r>
              <w:rPr>
                <w:rFonts w:hint="eastAsia" w:ascii="宋体" w:hAnsi="宋体" w:eastAsia="宋体" w:cs="Times New Roman"/>
                <w:kern w:val="0"/>
                <w:sz w:val="21"/>
                <w:szCs w:val="20"/>
                <w:lang w:val="en-US" w:eastAsia="zh-CN" w:bidi="ar-SA"/>
              </w:rPr>
              <w:t>文物拍卖许可证编号（如有）</w:t>
            </w:r>
          </w:p>
        </w:tc>
        <w:tc>
          <w:tcPr>
            <w:tcW w:w="3164" w:type="dxa"/>
            <w:vAlign w:val="center"/>
          </w:tcPr>
          <w:p w14:paraId="03040E18">
            <w:pPr>
              <w:pStyle w:val="183"/>
              <w:rPr>
                <w:rFonts w:hint="eastAsia" w:ascii="宋体" w:hAnsi="宋体" w:eastAsia="宋体" w:cs="Times New Roman"/>
                <w:kern w:val="0"/>
                <w:sz w:val="21"/>
                <w:szCs w:val="20"/>
                <w:lang w:val="en-US" w:eastAsia="zh-CN" w:bidi="ar-SA"/>
              </w:rPr>
            </w:pPr>
          </w:p>
        </w:tc>
      </w:tr>
      <w:tr w14:paraId="5246743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567" w:hRule="atLeast"/>
          <w:jc w:val="center"/>
        </w:trPr>
        <w:tc>
          <w:tcPr>
            <w:tcW w:w="2151" w:type="dxa"/>
            <w:vAlign w:val="center"/>
          </w:tcPr>
          <w:p w14:paraId="49542EB2">
            <w:pPr>
              <w:autoSpaceDE w:val="0"/>
              <w:adjustRightInd/>
              <w:spacing w:line="240" w:lineRule="auto"/>
              <w:jc w:val="center"/>
              <w:rPr>
                <w:rFonts w:hint="eastAsia" w:ascii="宋体" w:hAnsi="宋体" w:eastAsia="宋体" w:cs="Times New Roman"/>
                <w:kern w:val="0"/>
                <w:sz w:val="21"/>
                <w:szCs w:val="20"/>
                <w:lang w:val="en-US" w:eastAsia="zh-CN" w:bidi="ar-SA"/>
              </w:rPr>
            </w:pPr>
            <w:r>
              <w:rPr>
                <w:rFonts w:hint="eastAsia" w:ascii="宋体" w:hAnsi="宋体" w:eastAsia="宋体" w:cs="Times New Roman"/>
                <w:kern w:val="0"/>
                <w:sz w:val="21"/>
                <w:szCs w:val="20"/>
                <w:lang w:val="en-US" w:eastAsia="zh-CN" w:bidi="ar-SA"/>
              </w:rPr>
              <w:t>年度拍卖成交额（万元）</w:t>
            </w:r>
          </w:p>
        </w:tc>
        <w:tc>
          <w:tcPr>
            <w:tcW w:w="2267" w:type="dxa"/>
            <w:vAlign w:val="center"/>
          </w:tcPr>
          <w:p w14:paraId="461EC9D5">
            <w:pPr>
              <w:pStyle w:val="183"/>
              <w:rPr>
                <w:rFonts w:hint="eastAsia" w:ascii="宋体" w:hAnsi="宋体" w:eastAsia="宋体" w:cs="Times New Roman"/>
                <w:kern w:val="0"/>
                <w:sz w:val="21"/>
                <w:szCs w:val="20"/>
                <w:lang w:val="en-US" w:eastAsia="zh-CN" w:bidi="ar-SA"/>
              </w:rPr>
            </w:pPr>
          </w:p>
        </w:tc>
        <w:tc>
          <w:tcPr>
            <w:tcW w:w="1980" w:type="dxa"/>
            <w:vAlign w:val="center"/>
          </w:tcPr>
          <w:p w14:paraId="69BE0D32">
            <w:pPr>
              <w:autoSpaceDE w:val="0"/>
              <w:adjustRightInd/>
              <w:spacing w:line="240" w:lineRule="auto"/>
              <w:jc w:val="center"/>
              <w:rPr>
                <w:rFonts w:hint="eastAsia" w:ascii="宋体" w:hAnsi="宋体" w:eastAsia="宋体" w:cs="Times New Roman"/>
                <w:kern w:val="0"/>
                <w:sz w:val="21"/>
                <w:szCs w:val="20"/>
                <w:lang w:val="en-US" w:eastAsia="zh-CN" w:bidi="ar-SA"/>
              </w:rPr>
            </w:pPr>
            <w:r>
              <w:rPr>
                <w:rFonts w:hint="eastAsia" w:ascii="宋体" w:hAnsi="宋体" w:eastAsia="宋体" w:cs="Times New Roman"/>
                <w:kern w:val="0"/>
                <w:sz w:val="21"/>
                <w:szCs w:val="20"/>
                <w:lang w:val="en-US" w:eastAsia="zh-CN" w:bidi="ar-SA"/>
              </w:rPr>
              <w:t>是否触及一票否决指标</w:t>
            </w:r>
          </w:p>
        </w:tc>
        <w:tc>
          <w:tcPr>
            <w:tcW w:w="3164" w:type="dxa"/>
            <w:vAlign w:val="center"/>
          </w:tcPr>
          <w:p w14:paraId="6150BFC3">
            <w:pPr>
              <w:pStyle w:val="183"/>
              <w:rPr>
                <w:rFonts w:hint="eastAsia" w:ascii="宋体" w:hAnsi="宋体" w:eastAsia="宋体" w:cs="Times New Roman"/>
                <w:kern w:val="0"/>
                <w:sz w:val="21"/>
                <w:szCs w:val="20"/>
                <w:lang w:val="en-US" w:eastAsia="zh-CN" w:bidi="ar-SA"/>
              </w:rPr>
            </w:pPr>
            <w:r>
              <w:rPr>
                <w:rFonts w:hint="eastAsia" w:ascii="宋体" w:hAnsi="宋体" w:eastAsia="宋体" w:cs="Times New Roman"/>
                <w:kern w:val="0"/>
                <w:sz w:val="21"/>
                <w:szCs w:val="20"/>
                <w:lang w:val="en-US" w:eastAsia="zh-CN" w:bidi="ar-SA"/>
              </w:rPr>
              <w:t>□是 □否（如勾选“是”，请简述事由：_______）</w:t>
            </w:r>
          </w:p>
        </w:tc>
      </w:tr>
      <w:tr w14:paraId="61C205A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1562" w:hRule="atLeast"/>
          <w:jc w:val="center"/>
        </w:trPr>
        <w:tc>
          <w:tcPr>
            <w:tcW w:w="2151" w:type="dxa"/>
            <w:vMerge w:val="restart"/>
            <w:vAlign w:val="center"/>
          </w:tcPr>
          <w:p w14:paraId="18DC011C">
            <w:pPr>
              <w:pStyle w:val="183"/>
              <w:rPr>
                <w:rFonts w:hint="eastAsia" w:ascii="宋体" w:hAnsi="宋体" w:eastAsia="宋体" w:cs="Times New Roman"/>
                <w:kern w:val="0"/>
                <w:sz w:val="21"/>
                <w:szCs w:val="20"/>
                <w:lang w:val="en-US" w:eastAsia="zh-CN" w:bidi="ar-SA"/>
              </w:rPr>
            </w:pPr>
            <w:r>
              <w:rPr>
                <w:rFonts w:hint="eastAsia" w:ascii="宋体" w:hAnsi="宋体" w:eastAsia="宋体" w:cs="Times New Roman"/>
                <w:kern w:val="0"/>
                <w:sz w:val="21"/>
                <w:szCs w:val="20"/>
                <w:lang w:val="en-US" w:eastAsia="zh-CN" w:bidi="ar-SA"/>
              </w:rPr>
              <w:t>评价分数统计</w:t>
            </w:r>
          </w:p>
        </w:tc>
        <w:tc>
          <w:tcPr>
            <w:tcW w:w="7411" w:type="dxa"/>
            <w:gridSpan w:val="3"/>
            <w:vAlign w:val="center"/>
          </w:tcPr>
          <w:p w14:paraId="13C9DC4F">
            <w:pPr>
              <w:autoSpaceDE w:val="0"/>
              <w:adjustRightInd/>
              <w:spacing w:line="240" w:lineRule="auto"/>
              <w:ind w:firstLine="420" w:firstLineChars="200"/>
              <w:rPr>
                <w:rFonts w:hint="eastAsia" w:ascii="宋体" w:hAnsi="宋体" w:eastAsia="宋体" w:cs="Times New Roman"/>
                <w:kern w:val="0"/>
                <w:sz w:val="21"/>
                <w:szCs w:val="20"/>
                <w:lang w:val="en-US" w:eastAsia="zh-CN" w:bidi="ar-SA"/>
              </w:rPr>
            </w:pPr>
            <w:r>
              <w:rPr>
                <w:rFonts w:hint="eastAsia" w:ascii="宋体" w:hAnsi="宋体" w:eastAsia="宋体" w:cs="Times New Roman"/>
                <w:kern w:val="0"/>
                <w:sz w:val="21"/>
                <w:szCs w:val="20"/>
                <w:lang w:val="en-US" w:eastAsia="zh-CN" w:bidi="ar-SA"/>
              </w:rPr>
              <w:t>1.评价专家1评价总得分：</w:t>
            </w:r>
            <w:r>
              <w:rPr>
                <w:rFonts w:hint="eastAsia" w:ascii="宋体" w:hAnsi="宋体" w:eastAsia="宋体" w:cs="Times New Roman"/>
                <w:kern w:val="0"/>
                <w:sz w:val="21"/>
                <w:szCs w:val="20"/>
                <w:u w:val="single"/>
                <w:lang w:val="en-US" w:eastAsia="zh-CN" w:bidi="ar-SA"/>
              </w:rPr>
              <w:t xml:space="preserve">   </w:t>
            </w:r>
            <w:r>
              <w:rPr>
                <w:rFonts w:hint="eastAsia" w:ascii="宋体" w:hAnsi="宋体" w:eastAsia="宋体" w:cs="Times New Roman"/>
                <w:kern w:val="0"/>
                <w:sz w:val="21"/>
                <w:szCs w:val="20"/>
                <w:lang w:val="en-US" w:eastAsia="zh-CN" w:bidi="ar-SA"/>
              </w:rPr>
              <w:t>分</w:t>
            </w:r>
          </w:p>
          <w:p w14:paraId="4E56A6AE">
            <w:pPr>
              <w:autoSpaceDE w:val="0"/>
              <w:adjustRightInd/>
              <w:spacing w:line="240" w:lineRule="auto"/>
              <w:ind w:firstLine="420" w:firstLineChars="200"/>
              <w:rPr>
                <w:rFonts w:hint="eastAsia" w:ascii="宋体" w:hAnsi="宋体" w:eastAsia="宋体" w:cs="Times New Roman"/>
                <w:kern w:val="0"/>
                <w:sz w:val="21"/>
                <w:szCs w:val="20"/>
                <w:lang w:val="en-US" w:eastAsia="zh-CN" w:bidi="ar-SA"/>
              </w:rPr>
            </w:pPr>
            <w:r>
              <w:rPr>
                <w:rFonts w:hint="eastAsia" w:ascii="宋体" w:hAnsi="宋体" w:eastAsia="宋体" w:cs="Times New Roman"/>
                <w:kern w:val="0"/>
                <w:sz w:val="21"/>
                <w:szCs w:val="20"/>
                <w:lang w:val="en-US" w:eastAsia="zh-CN" w:bidi="ar-SA"/>
              </w:rPr>
              <w:t>2.评价专家2评价总得分：</w:t>
            </w:r>
            <w:r>
              <w:rPr>
                <w:rFonts w:hint="eastAsia" w:ascii="宋体" w:hAnsi="宋体" w:eastAsia="宋体" w:cs="Times New Roman"/>
                <w:kern w:val="0"/>
                <w:sz w:val="21"/>
                <w:szCs w:val="20"/>
                <w:u w:val="single"/>
                <w:lang w:val="en-US" w:eastAsia="zh-CN" w:bidi="ar-SA"/>
              </w:rPr>
              <w:t xml:space="preserve">   </w:t>
            </w:r>
            <w:r>
              <w:rPr>
                <w:rFonts w:hint="eastAsia" w:ascii="宋体" w:hAnsi="宋体" w:eastAsia="宋体" w:cs="Times New Roman"/>
                <w:kern w:val="0"/>
                <w:sz w:val="21"/>
                <w:szCs w:val="20"/>
                <w:lang w:val="en-US" w:eastAsia="zh-CN" w:bidi="ar-SA"/>
              </w:rPr>
              <w:t>分</w:t>
            </w:r>
          </w:p>
          <w:p w14:paraId="729280E3">
            <w:pPr>
              <w:autoSpaceDE w:val="0"/>
              <w:adjustRightInd/>
              <w:spacing w:line="240" w:lineRule="auto"/>
              <w:ind w:firstLine="420" w:firstLineChars="200"/>
              <w:rPr>
                <w:rFonts w:hint="eastAsia" w:ascii="宋体" w:hAnsi="宋体" w:eastAsia="宋体" w:cs="Times New Roman"/>
                <w:kern w:val="0"/>
                <w:sz w:val="21"/>
                <w:szCs w:val="20"/>
                <w:lang w:val="en-US" w:eastAsia="zh-CN" w:bidi="ar-SA"/>
              </w:rPr>
            </w:pPr>
            <w:r>
              <w:rPr>
                <w:rFonts w:hint="eastAsia" w:ascii="宋体" w:hAnsi="宋体" w:eastAsia="宋体" w:cs="Times New Roman"/>
                <w:kern w:val="0"/>
                <w:sz w:val="21"/>
                <w:szCs w:val="20"/>
                <w:lang w:val="en-US" w:eastAsia="zh-CN" w:bidi="ar-SA"/>
              </w:rPr>
              <w:t>3.评价专家3评价总得分：</w:t>
            </w:r>
            <w:r>
              <w:rPr>
                <w:rFonts w:hint="eastAsia" w:ascii="宋体" w:hAnsi="宋体" w:eastAsia="宋体" w:cs="Times New Roman"/>
                <w:kern w:val="0"/>
                <w:sz w:val="21"/>
                <w:szCs w:val="20"/>
                <w:u w:val="single"/>
                <w:lang w:val="en-US" w:eastAsia="zh-CN" w:bidi="ar-SA"/>
              </w:rPr>
              <w:t xml:space="preserve">   </w:t>
            </w:r>
            <w:r>
              <w:rPr>
                <w:rFonts w:hint="eastAsia" w:ascii="宋体" w:hAnsi="宋体" w:eastAsia="宋体" w:cs="Times New Roman"/>
                <w:kern w:val="0"/>
                <w:sz w:val="21"/>
                <w:szCs w:val="20"/>
                <w:lang w:val="en-US" w:eastAsia="zh-CN" w:bidi="ar-SA"/>
              </w:rPr>
              <w:t>分</w:t>
            </w:r>
          </w:p>
          <w:p w14:paraId="3C9E1E65">
            <w:pPr>
              <w:autoSpaceDE w:val="0"/>
              <w:adjustRightInd/>
              <w:spacing w:line="240" w:lineRule="auto"/>
              <w:ind w:firstLine="420" w:firstLineChars="200"/>
              <w:rPr>
                <w:rFonts w:hint="eastAsia" w:ascii="宋体" w:hAnsi="宋体" w:eastAsia="宋体" w:cs="Times New Roman"/>
                <w:kern w:val="0"/>
                <w:sz w:val="21"/>
                <w:szCs w:val="20"/>
                <w:lang w:val="en-US" w:eastAsia="zh-CN" w:bidi="ar-SA"/>
              </w:rPr>
            </w:pPr>
            <w:r>
              <w:rPr>
                <w:rFonts w:hint="eastAsia" w:ascii="宋体" w:hAnsi="宋体" w:eastAsia="宋体" w:cs="Times New Roman"/>
                <w:kern w:val="0"/>
                <w:sz w:val="21"/>
                <w:szCs w:val="20"/>
                <w:lang w:val="en-US" w:eastAsia="zh-CN" w:bidi="ar-SA"/>
              </w:rPr>
              <w:t>4.评价专家4评价总得分：</w:t>
            </w:r>
            <w:r>
              <w:rPr>
                <w:rFonts w:hint="eastAsia" w:ascii="宋体" w:hAnsi="宋体" w:eastAsia="宋体" w:cs="Times New Roman"/>
                <w:kern w:val="0"/>
                <w:sz w:val="21"/>
                <w:szCs w:val="20"/>
                <w:u w:val="single"/>
                <w:lang w:val="en-US" w:eastAsia="zh-CN" w:bidi="ar-SA"/>
              </w:rPr>
              <w:t xml:space="preserve">   </w:t>
            </w:r>
            <w:r>
              <w:rPr>
                <w:rFonts w:hint="eastAsia" w:ascii="宋体" w:hAnsi="宋体" w:eastAsia="宋体" w:cs="Times New Roman"/>
                <w:kern w:val="0"/>
                <w:sz w:val="21"/>
                <w:szCs w:val="20"/>
                <w:lang w:val="en-US" w:eastAsia="zh-CN" w:bidi="ar-SA"/>
              </w:rPr>
              <w:t>分</w:t>
            </w:r>
          </w:p>
          <w:p w14:paraId="1CA674B0">
            <w:pPr>
              <w:autoSpaceDE w:val="0"/>
              <w:adjustRightInd/>
              <w:spacing w:line="240" w:lineRule="auto"/>
              <w:ind w:firstLine="420" w:firstLineChars="200"/>
              <w:rPr>
                <w:rFonts w:hint="eastAsia" w:ascii="宋体" w:hAnsi="宋体" w:eastAsia="宋体" w:cs="Times New Roman"/>
                <w:kern w:val="0"/>
                <w:sz w:val="21"/>
                <w:szCs w:val="20"/>
                <w:lang w:val="en-US" w:eastAsia="zh-CN" w:bidi="ar-SA"/>
              </w:rPr>
            </w:pPr>
            <w:r>
              <w:rPr>
                <w:rFonts w:hint="eastAsia" w:ascii="宋体" w:hAnsi="宋体" w:eastAsia="宋体" w:cs="Times New Roman"/>
                <w:kern w:val="0"/>
                <w:sz w:val="21"/>
                <w:szCs w:val="20"/>
                <w:lang w:val="en-US" w:eastAsia="zh-CN" w:bidi="ar-SA"/>
              </w:rPr>
              <w:t>5.评价专家5评价总得分：</w:t>
            </w:r>
            <w:r>
              <w:rPr>
                <w:rFonts w:hint="eastAsia" w:ascii="宋体" w:hAnsi="宋体" w:eastAsia="宋体" w:cs="Times New Roman"/>
                <w:kern w:val="0"/>
                <w:sz w:val="21"/>
                <w:szCs w:val="20"/>
                <w:u w:val="single"/>
                <w:lang w:val="en-US" w:eastAsia="zh-CN" w:bidi="ar-SA"/>
              </w:rPr>
              <w:t xml:space="preserve">   </w:t>
            </w:r>
            <w:r>
              <w:rPr>
                <w:rFonts w:hint="eastAsia" w:ascii="宋体" w:hAnsi="宋体" w:eastAsia="宋体" w:cs="Times New Roman"/>
                <w:kern w:val="0"/>
                <w:sz w:val="21"/>
                <w:szCs w:val="20"/>
                <w:lang w:val="en-US" w:eastAsia="zh-CN" w:bidi="ar-SA"/>
              </w:rPr>
              <w:t>分</w:t>
            </w:r>
          </w:p>
        </w:tc>
      </w:tr>
      <w:tr w14:paraId="52FE32F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638" w:hRule="atLeast"/>
          <w:jc w:val="center"/>
        </w:trPr>
        <w:tc>
          <w:tcPr>
            <w:tcW w:w="2151" w:type="dxa"/>
            <w:vMerge w:val="continue"/>
            <w:vAlign w:val="center"/>
          </w:tcPr>
          <w:p w14:paraId="1E20D1B6">
            <w:pPr>
              <w:pStyle w:val="183"/>
              <w:rPr>
                <w:rFonts w:hint="eastAsia" w:ascii="宋体" w:hAnsi="宋体" w:eastAsia="宋体" w:cs="Times New Roman"/>
                <w:kern w:val="0"/>
                <w:sz w:val="21"/>
                <w:szCs w:val="20"/>
                <w:lang w:val="en-US" w:eastAsia="zh-CN" w:bidi="ar-SA"/>
              </w:rPr>
            </w:pPr>
          </w:p>
        </w:tc>
        <w:tc>
          <w:tcPr>
            <w:tcW w:w="7411" w:type="dxa"/>
            <w:gridSpan w:val="3"/>
            <w:vAlign w:val="center"/>
          </w:tcPr>
          <w:p w14:paraId="0F655C35">
            <w:pPr>
              <w:pStyle w:val="183"/>
              <w:ind w:firstLine="420" w:firstLineChars="200"/>
              <w:jc w:val="both"/>
              <w:rPr>
                <w:rFonts w:hint="eastAsia" w:ascii="宋体" w:hAnsi="宋体" w:eastAsia="宋体" w:cs="Times New Roman"/>
                <w:kern w:val="0"/>
                <w:sz w:val="21"/>
                <w:szCs w:val="20"/>
                <w:lang w:val="en-US" w:eastAsia="zh-CN" w:bidi="ar-SA"/>
              </w:rPr>
            </w:pPr>
            <w:r>
              <w:rPr>
                <w:rFonts w:hint="eastAsia" w:ascii="宋体" w:hAnsi="宋体" w:eastAsia="宋体" w:cs="Times New Roman"/>
                <w:kern w:val="0"/>
                <w:sz w:val="21"/>
                <w:szCs w:val="20"/>
                <w:lang w:val="en-US" w:eastAsia="zh-CN" w:bidi="ar-SA"/>
              </w:rPr>
              <w:t>评价认定最终得分（专家算术平均分，保留1位小数）</w:t>
            </w:r>
            <w:r>
              <w:rPr>
                <w:rFonts w:hint="eastAsia" w:ascii="宋体" w:hAnsi="宋体" w:eastAsia="宋体" w:cs="Times New Roman"/>
                <w:kern w:val="0"/>
                <w:sz w:val="21"/>
                <w:szCs w:val="20"/>
                <w:u w:val="single"/>
                <w:lang w:val="en-US" w:eastAsia="zh-CN" w:bidi="ar-SA"/>
              </w:rPr>
              <w:t xml:space="preserve">    </w:t>
            </w:r>
            <w:r>
              <w:rPr>
                <w:rFonts w:hint="eastAsia" w:ascii="宋体" w:hAnsi="宋体" w:eastAsia="宋体" w:cs="Times New Roman"/>
                <w:kern w:val="0"/>
                <w:sz w:val="21"/>
                <w:szCs w:val="20"/>
                <w:lang w:val="en-US" w:eastAsia="zh-CN" w:bidi="ar-SA"/>
              </w:rPr>
              <w:t>分。</w:t>
            </w:r>
          </w:p>
        </w:tc>
      </w:tr>
      <w:tr w14:paraId="12C87CD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698" w:hRule="atLeast"/>
          <w:jc w:val="center"/>
        </w:trPr>
        <w:tc>
          <w:tcPr>
            <w:tcW w:w="2151" w:type="dxa"/>
            <w:vAlign w:val="center"/>
          </w:tcPr>
          <w:p w14:paraId="1583DE4D">
            <w:pPr>
              <w:pStyle w:val="183"/>
              <w:rPr>
                <w:rFonts w:hint="eastAsia" w:ascii="宋体" w:hAnsi="宋体" w:eastAsia="宋体" w:cs="Times New Roman"/>
                <w:kern w:val="0"/>
                <w:sz w:val="21"/>
                <w:szCs w:val="20"/>
                <w:lang w:val="en-US" w:eastAsia="zh-CN" w:bidi="ar-SA"/>
              </w:rPr>
            </w:pPr>
            <w:r>
              <w:rPr>
                <w:rFonts w:hint="eastAsia" w:ascii="宋体" w:hAnsi="宋体" w:eastAsia="宋体" w:cs="Times New Roman"/>
                <w:kern w:val="0"/>
                <w:sz w:val="21"/>
                <w:szCs w:val="20"/>
                <w:lang w:val="en-US" w:eastAsia="zh-CN" w:bidi="ar-SA"/>
              </w:rPr>
              <w:t>评价等级建议</w:t>
            </w:r>
          </w:p>
        </w:tc>
        <w:tc>
          <w:tcPr>
            <w:tcW w:w="7411" w:type="dxa"/>
            <w:gridSpan w:val="3"/>
            <w:vAlign w:val="center"/>
          </w:tcPr>
          <w:p w14:paraId="40F33258">
            <w:pPr>
              <w:tabs>
                <w:tab w:val="left" w:pos="901"/>
              </w:tabs>
              <w:autoSpaceDE w:val="0"/>
              <w:adjustRightInd/>
              <w:spacing w:line="360" w:lineRule="auto"/>
              <w:jc w:val="center"/>
              <w:rPr>
                <w:rFonts w:hint="eastAsia" w:ascii="宋体" w:hAnsi="宋体" w:cs="Times New Roman"/>
                <w:kern w:val="0"/>
                <w:sz w:val="21"/>
                <w:szCs w:val="20"/>
                <w:lang w:val="en-US" w:eastAsia="zh-CN" w:bidi="ar-SA"/>
              </w:rPr>
            </w:pPr>
            <w:r>
              <w:rPr>
                <w:rFonts w:hint="eastAsia" w:ascii="宋体" w:hAnsi="宋体" w:cs="Times New Roman"/>
                <w:kern w:val="0"/>
                <w:sz w:val="21"/>
                <w:szCs w:val="20"/>
                <w:lang w:val="en-US" w:eastAsia="zh-CN" w:bidi="ar-SA"/>
              </w:rPr>
              <w:t>□AAA（≥90分） □AA（80</w:t>
            </w:r>
            <w:r>
              <w:rPr>
                <w:rFonts w:hint="eastAsia" w:ascii="宋体" w:hAnsi="宋体" w:cs="Times New Roman"/>
                <w:kern w:val="0"/>
                <w:sz w:val="21"/>
                <w:szCs w:val="20"/>
                <w:lang w:val="en-US" w:eastAsia="zh-CN" w:bidi="ar-SA"/>
              </w:rPr>
              <w:noBreakHyphen/>
            </w:r>
            <w:r>
              <w:rPr>
                <w:rFonts w:hint="eastAsia" w:ascii="宋体" w:hAnsi="宋体" w:cs="Times New Roman"/>
                <w:kern w:val="0"/>
                <w:sz w:val="21"/>
                <w:szCs w:val="20"/>
                <w:lang w:val="en-US" w:eastAsia="zh-CN" w:bidi="ar-SA"/>
              </w:rPr>
              <w:t>89分） □A（70</w:t>
            </w:r>
            <w:r>
              <w:rPr>
                <w:rFonts w:hint="eastAsia" w:ascii="宋体" w:hAnsi="宋体" w:cs="Times New Roman"/>
                <w:kern w:val="0"/>
                <w:sz w:val="21"/>
                <w:szCs w:val="20"/>
                <w:lang w:val="en-US" w:eastAsia="zh-CN" w:bidi="ar-SA"/>
              </w:rPr>
              <w:noBreakHyphen/>
            </w:r>
            <w:r>
              <w:rPr>
                <w:rFonts w:hint="eastAsia" w:ascii="宋体" w:hAnsi="宋体" w:cs="Times New Roman"/>
                <w:kern w:val="0"/>
                <w:sz w:val="21"/>
                <w:szCs w:val="20"/>
                <w:lang w:val="en-US" w:eastAsia="zh-CN" w:bidi="ar-SA"/>
              </w:rPr>
              <w:t>79分）</w:t>
            </w:r>
          </w:p>
          <w:p w14:paraId="708F0BCA">
            <w:pPr>
              <w:tabs>
                <w:tab w:val="left" w:pos="901"/>
              </w:tabs>
              <w:autoSpaceDE w:val="0"/>
              <w:adjustRightInd/>
              <w:spacing w:line="360" w:lineRule="auto"/>
              <w:jc w:val="center"/>
              <w:rPr>
                <w:rFonts w:hint="default" w:ascii="宋体" w:hAnsi="宋体" w:eastAsia="宋体" w:cs="Times New Roman"/>
                <w:kern w:val="0"/>
                <w:sz w:val="21"/>
                <w:szCs w:val="20"/>
                <w:lang w:val="en-US" w:eastAsia="zh-CN" w:bidi="ar-SA"/>
              </w:rPr>
            </w:pPr>
            <w:r>
              <w:rPr>
                <w:rFonts w:hint="eastAsia" w:ascii="宋体" w:hAnsi="宋体" w:cs="Times New Roman"/>
                <w:kern w:val="0"/>
                <w:sz w:val="21"/>
                <w:szCs w:val="20"/>
                <w:lang w:val="en-US" w:eastAsia="zh-CN" w:bidi="ar-SA"/>
              </w:rPr>
              <w:t>□B（60</w:t>
            </w:r>
            <w:r>
              <w:rPr>
                <w:rFonts w:hint="eastAsia" w:ascii="宋体" w:hAnsi="宋体" w:cs="Times New Roman"/>
                <w:kern w:val="0"/>
                <w:sz w:val="21"/>
                <w:szCs w:val="20"/>
                <w:lang w:val="en-US" w:eastAsia="zh-CN" w:bidi="ar-SA"/>
              </w:rPr>
              <w:noBreakHyphen/>
            </w:r>
            <w:r>
              <w:rPr>
                <w:rFonts w:hint="eastAsia" w:ascii="宋体" w:hAnsi="宋体" w:cs="Times New Roman"/>
                <w:kern w:val="0"/>
                <w:sz w:val="21"/>
                <w:szCs w:val="20"/>
                <w:lang w:val="en-US" w:eastAsia="zh-CN" w:bidi="ar-SA"/>
              </w:rPr>
              <w:t>69分） □C（50</w:t>
            </w:r>
            <w:r>
              <w:rPr>
                <w:rFonts w:hint="eastAsia" w:ascii="宋体" w:hAnsi="宋体" w:cs="Times New Roman"/>
                <w:kern w:val="0"/>
                <w:sz w:val="21"/>
                <w:szCs w:val="20"/>
                <w:lang w:val="en-US" w:eastAsia="zh-CN" w:bidi="ar-SA"/>
              </w:rPr>
              <w:noBreakHyphen/>
            </w:r>
            <w:r>
              <w:rPr>
                <w:rFonts w:hint="eastAsia" w:ascii="宋体" w:hAnsi="宋体" w:cs="Times New Roman"/>
                <w:kern w:val="0"/>
                <w:sz w:val="21"/>
                <w:szCs w:val="20"/>
                <w:lang w:val="en-US" w:eastAsia="zh-CN" w:bidi="ar-SA"/>
              </w:rPr>
              <w:t>59分）  □D（＜50分或一票否决）</w:t>
            </w:r>
          </w:p>
        </w:tc>
      </w:tr>
      <w:tr w14:paraId="4035FF3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1044" w:hRule="atLeast"/>
          <w:jc w:val="center"/>
        </w:trPr>
        <w:tc>
          <w:tcPr>
            <w:tcW w:w="2151" w:type="dxa"/>
            <w:vAlign w:val="center"/>
          </w:tcPr>
          <w:p w14:paraId="61739950">
            <w:pPr>
              <w:pStyle w:val="183"/>
              <w:rPr>
                <w:rFonts w:hint="eastAsia" w:ascii="宋体" w:hAnsi="宋体" w:eastAsia="宋体" w:cs="Times New Roman"/>
                <w:kern w:val="0"/>
                <w:sz w:val="21"/>
                <w:szCs w:val="20"/>
                <w:lang w:val="en-US" w:eastAsia="zh-CN" w:bidi="ar-SA"/>
              </w:rPr>
            </w:pPr>
            <w:r>
              <w:rPr>
                <w:rFonts w:hint="eastAsia" w:ascii="宋体" w:hAnsi="宋体" w:eastAsia="宋体" w:cs="Times New Roman"/>
                <w:kern w:val="0"/>
                <w:sz w:val="21"/>
                <w:szCs w:val="20"/>
                <w:lang w:val="en-US" w:eastAsia="zh-CN" w:bidi="ar-SA"/>
              </w:rPr>
              <w:t>评价专家组意见</w:t>
            </w:r>
          </w:p>
        </w:tc>
        <w:tc>
          <w:tcPr>
            <w:tcW w:w="7411" w:type="dxa"/>
            <w:gridSpan w:val="3"/>
            <w:vAlign w:val="center"/>
          </w:tcPr>
          <w:p w14:paraId="5FF7E8A5">
            <w:pPr>
              <w:autoSpaceDE w:val="0"/>
              <w:adjustRightInd/>
              <w:spacing w:line="240" w:lineRule="auto"/>
              <w:jc w:val="center"/>
              <w:rPr>
                <w:rFonts w:hint="eastAsia" w:ascii="宋体" w:hAnsi="宋体" w:eastAsia="宋体" w:cs="Times New Roman"/>
                <w:kern w:val="0"/>
                <w:sz w:val="21"/>
                <w:szCs w:val="20"/>
                <w:lang w:val="en-US" w:eastAsia="zh-CN" w:bidi="ar-SA"/>
              </w:rPr>
            </w:pPr>
            <w:r>
              <w:rPr>
                <w:rFonts w:hint="eastAsia" w:ascii="宋体" w:hAnsi="宋体" w:eastAsia="宋体" w:cs="Times New Roman"/>
                <w:kern w:val="0"/>
                <w:sz w:val="21"/>
                <w:szCs w:val="20"/>
                <w:lang w:val="en-US" w:eastAsia="zh-CN" w:bidi="ar-SA"/>
              </w:rPr>
              <w:t xml:space="preserve">                         </w:t>
            </w:r>
          </w:p>
          <w:p w14:paraId="0B6A6E8B">
            <w:pPr>
              <w:autoSpaceDE w:val="0"/>
              <w:adjustRightInd/>
              <w:spacing w:line="240" w:lineRule="auto"/>
              <w:jc w:val="center"/>
              <w:rPr>
                <w:rFonts w:hint="eastAsia" w:ascii="宋体" w:hAnsi="宋体" w:eastAsia="宋体" w:cs="Times New Roman"/>
                <w:kern w:val="0"/>
                <w:sz w:val="21"/>
                <w:szCs w:val="20"/>
                <w:lang w:val="en-US" w:eastAsia="zh-CN" w:bidi="ar-SA"/>
              </w:rPr>
            </w:pPr>
          </w:p>
          <w:p w14:paraId="0F5F4FB6">
            <w:pPr>
              <w:autoSpaceDE w:val="0"/>
              <w:adjustRightInd/>
              <w:spacing w:line="240" w:lineRule="auto"/>
              <w:jc w:val="center"/>
              <w:rPr>
                <w:rFonts w:hint="eastAsia" w:ascii="宋体" w:hAnsi="宋体" w:eastAsia="宋体" w:cs="Times New Roman"/>
                <w:kern w:val="0"/>
                <w:sz w:val="21"/>
                <w:szCs w:val="20"/>
                <w:lang w:val="en-US" w:eastAsia="zh-CN" w:bidi="ar-SA"/>
              </w:rPr>
            </w:pPr>
            <w:r>
              <w:rPr>
                <w:rFonts w:hint="eastAsia" w:ascii="宋体" w:hAnsi="宋体" w:eastAsia="宋体" w:cs="Times New Roman"/>
                <w:kern w:val="0"/>
                <w:sz w:val="21"/>
                <w:szCs w:val="20"/>
                <w:lang w:val="en-US" w:eastAsia="zh-CN" w:bidi="ar-SA"/>
              </w:rPr>
              <w:t xml:space="preserve">                               组长签字：   </w:t>
            </w:r>
          </w:p>
          <w:p w14:paraId="0B3CD7C2">
            <w:pPr>
              <w:pStyle w:val="183"/>
              <w:rPr>
                <w:rFonts w:hint="eastAsia" w:ascii="宋体" w:hAnsi="宋体" w:eastAsia="宋体" w:cs="Times New Roman"/>
                <w:kern w:val="0"/>
                <w:sz w:val="21"/>
                <w:szCs w:val="20"/>
                <w:lang w:val="en-US" w:eastAsia="zh-CN" w:bidi="ar-SA"/>
              </w:rPr>
            </w:pPr>
            <w:r>
              <w:rPr>
                <w:rFonts w:hint="eastAsia" w:ascii="宋体" w:hAnsi="宋体" w:eastAsia="宋体" w:cs="Times New Roman"/>
                <w:kern w:val="0"/>
                <w:sz w:val="21"/>
                <w:szCs w:val="20"/>
                <w:lang w:val="en-US" w:eastAsia="zh-CN" w:bidi="ar-SA"/>
              </w:rPr>
              <w:t xml:space="preserve">                                                      年    月    日</w:t>
            </w:r>
          </w:p>
        </w:tc>
      </w:tr>
      <w:tr w14:paraId="3C7DE48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1044" w:hRule="atLeast"/>
          <w:jc w:val="center"/>
        </w:trPr>
        <w:tc>
          <w:tcPr>
            <w:tcW w:w="2151" w:type="dxa"/>
            <w:vAlign w:val="center"/>
          </w:tcPr>
          <w:p w14:paraId="7EF418E8">
            <w:pPr>
              <w:pStyle w:val="183"/>
              <w:rPr>
                <w:rFonts w:hint="eastAsia" w:ascii="宋体" w:hAnsi="宋体" w:eastAsia="宋体" w:cs="Times New Roman"/>
                <w:kern w:val="0"/>
                <w:sz w:val="21"/>
                <w:szCs w:val="20"/>
                <w:lang w:val="en-US" w:eastAsia="zh-CN" w:bidi="ar-SA"/>
              </w:rPr>
            </w:pPr>
            <w:r>
              <w:rPr>
                <w:rFonts w:hint="eastAsia" w:ascii="宋体" w:hAnsi="宋体" w:eastAsia="宋体" w:cs="Times New Roman"/>
                <w:kern w:val="0"/>
                <w:sz w:val="21"/>
                <w:szCs w:val="20"/>
                <w:lang w:val="en-US" w:eastAsia="zh-CN" w:bidi="ar-SA"/>
              </w:rPr>
              <w:t>专家委员会意见</w:t>
            </w:r>
          </w:p>
        </w:tc>
        <w:tc>
          <w:tcPr>
            <w:tcW w:w="7411" w:type="dxa"/>
            <w:gridSpan w:val="3"/>
            <w:vAlign w:val="center"/>
          </w:tcPr>
          <w:p w14:paraId="59876DD0">
            <w:pPr>
              <w:autoSpaceDE w:val="0"/>
              <w:adjustRightInd/>
              <w:spacing w:line="240" w:lineRule="auto"/>
              <w:jc w:val="center"/>
              <w:rPr>
                <w:rFonts w:hint="eastAsia" w:ascii="宋体" w:hAnsi="宋体" w:eastAsia="宋体" w:cs="Times New Roman"/>
                <w:kern w:val="0"/>
                <w:sz w:val="21"/>
                <w:szCs w:val="20"/>
                <w:lang w:val="en-US" w:eastAsia="zh-CN" w:bidi="ar-SA"/>
              </w:rPr>
            </w:pPr>
          </w:p>
          <w:p w14:paraId="14BE928B">
            <w:pPr>
              <w:autoSpaceDE w:val="0"/>
              <w:adjustRightInd/>
              <w:spacing w:line="240" w:lineRule="auto"/>
              <w:jc w:val="center"/>
              <w:rPr>
                <w:rFonts w:hint="eastAsia" w:ascii="宋体" w:hAnsi="宋体" w:eastAsia="宋体" w:cs="Times New Roman"/>
                <w:kern w:val="0"/>
                <w:sz w:val="21"/>
                <w:szCs w:val="20"/>
                <w:lang w:val="en-US" w:eastAsia="zh-CN" w:bidi="ar-SA"/>
              </w:rPr>
            </w:pPr>
            <w:r>
              <w:rPr>
                <w:rFonts w:hint="eastAsia" w:ascii="宋体" w:hAnsi="宋体" w:eastAsia="宋体" w:cs="Times New Roman"/>
                <w:kern w:val="0"/>
                <w:sz w:val="21"/>
                <w:szCs w:val="20"/>
                <w:lang w:val="en-US" w:eastAsia="zh-CN" w:bidi="ar-SA"/>
              </w:rPr>
              <w:t xml:space="preserve">                            主任委员签字：   </w:t>
            </w:r>
          </w:p>
          <w:p w14:paraId="27D7556C">
            <w:pPr>
              <w:pStyle w:val="183"/>
              <w:rPr>
                <w:rFonts w:hint="eastAsia" w:ascii="宋体" w:hAnsi="宋体" w:eastAsia="宋体" w:cs="Times New Roman"/>
                <w:kern w:val="0"/>
                <w:sz w:val="21"/>
                <w:szCs w:val="20"/>
                <w:lang w:val="en-US" w:eastAsia="zh-CN" w:bidi="ar-SA"/>
              </w:rPr>
            </w:pPr>
            <w:r>
              <w:rPr>
                <w:rFonts w:hint="eastAsia" w:ascii="宋体" w:hAnsi="宋体" w:eastAsia="宋体" w:cs="Times New Roman"/>
                <w:kern w:val="0"/>
                <w:sz w:val="21"/>
                <w:szCs w:val="20"/>
                <w:lang w:val="en-US" w:eastAsia="zh-CN" w:bidi="ar-SA"/>
              </w:rPr>
              <w:t xml:space="preserve">                                                      年    月    日</w:t>
            </w:r>
          </w:p>
        </w:tc>
      </w:tr>
      <w:tr w14:paraId="1F42486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1087" w:hRule="atLeast"/>
          <w:jc w:val="center"/>
        </w:trPr>
        <w:tc>
          <w:tcPr>
            <w:tcW w:w="2151" w:type="dxa"/>
            <w:vAlign w:val="center"/>
          </w:tcPr>
          <w:p w14:paraId="7ECA0E68">
            <w:pPr>
              <w:pStyle w:val="183"/>
              <w:rPr>
                <w:rFonts w:hint="eastAsia" w:ascii="宋体" w:hAnsi="宋体" w:eastAsia="宋体" w:cs="Times New Roman"/>
                <w:kern w:val="0"/>
                <w:sz w:val="21"/>
                <w:szCs w:val="20"/>
                <w:lang w:val="en-US" w:eastAsia="zh-CN" w:bidi="ar-SA"/>
              </w:rPr>
            </w:pPr>
            <w:r>
              <w:rPr>
                <w:rFonts w:hint="eastAsia" w:ascii="宋体" w:hAnsi="宋体" w:eastAsia="宋体" w:cs="Times New Roman"/>
                <w:kern w:val="0"/>
                <w:sz w:val="21"/>
                <w:szCs w:val="20"/>
                <w:lang w:val="en-US" w:eastAsia="zh-CN" w:bidi="ar-SA"/>
              </w:rPr>
              <w:t>湖南省拍卖行业协会</w:t>
            </w:r>
          </w:p>
        </w:tc>
        <w:tc>
          <w:tcPr>
            <w:tcW w:w="7411" w:type="dxa"/>
            <w:gridSpan w:val="3"/>
            <w:vAlign w:val="center"/>
          </w:tcPr>
          <w:p w14:paraId="579C710C">
            <w:pPr>
              <w:autoSpaceDE w:val="0"/>
              <w:adjustRightInd/>
              <w:spacing w:line="240" w:lineRule="auto"/>
              <w:jc w:val="center"/>
              <w:rPr>
                <w:rFonts w:hint="eastAsia" w:ascii="宋体" w:hAnsi="宋体" w:eastAsia="宋体" w:cs="Times New Roman"/>
                <w:kern w:val="0"/>
                <w:sz w:val="21"/>
                <w:szCs w:val="20"/>
                <w:lang w:val="en-US" w:eastAsia="zh-CN" w:bidi="ar-SA"/>
              </w:rPr>
            </w:pPr>
            <w:r>
              <w:rPr>
                <w:rFonts w:hint="eastAsia" w:ascii="宋体" w:hAnsi="宋体" w:eastAsia="宋体" w:cs="Times New Roman"/>
                <w:kern w:val="0"/>
                <w:sz w:val="21"/>
                <w:szCs w:val="20"/>
                <w:lang w:val="en-US" w:eastAsia="zh-CN" w:bidi="ar-SA"/>
              </w:rPr>
              <w:t xml:space="preserve">                      </w:t>
            </w:r>
          </w:p>
          <w:p w14:paraId="3E3E81F8">
            <w:pPr>
              <w:autoSpaceDE w:val="0"/>
              <w:adjustRightInd/>
              <w:spacing w:line="240" w:lineRule="auto"/>
              <w:jc w:val="center"/>
              <w:rPr>
                <w:rFonts w:hint="eastAsia" w:ascii="宋体" w:hAnsi="宋体" w:eastAsia="宋体" w:cs="Times New Roman"/>
                <w:kern w:val="0"/>
                <w:sz w:val="21"/>
                <w:szCs w:val="20"/>
                <w:lang w:val="en-US" w:eastAsia="zh-CN" w:bidi="ar-SA"/>
              </w:rPr>
            </w:pPr>
          </w:p>
          <w:p w14:paraId="02BFE955">
            <w:pPr>
              <w:autoSpaceDE w:val="0"/>
              <w:adjustRightInd/>
              <w:spacing w:line="240" w:lineRule="auto"/>
              <w:jc w:val="center"/>
              <w:rPr>
                <w:rFonts w:hint="eastAsia" w:ascii="宋体" w:hAnsi="宋体" w:eastAsia="宋体" w:cs="Times New Roman"/>
                <w:kern w:val="0"/>
                <w:sz w:val="21"/>
                <w:szCs w:val="20"/>
                <w:lang w:val="en-US" w:eastAsia="zh-CN" w:bidi="ar-SA"/>
              </w:rPr>
            </w:pPr>
            <w:r>
              <w:rPr>
                <w:rFonts w:hint="eastAsia" w:ascii="宋体" w:hAnsi="宋体" w:eastAsia="宋体" w:cs="Times New Roman"/>
                <w:kern w:val="0"/>
                <w:sz w:val="21"/>
                <w:szCs w:val="20"/>
                <w:lang w:val="en-US" w:eastAsia="zh-CN" w:bidi="ar-SA"/>
              </w:rPr>
              <w:t xml:space="preserve">                              负责人签字：   </w:t>
            </w:r>
          </w:p>
          <w:p w14:paraId="58CA02F8">
            <w:pPr>
              <w:pStyle w:val="183"/>
              <w:jc w:val="both"/>
              <w:rPr>
                <w:rFonts w:hint="eastAsia" w:ascii="宋体" w:hAnsi="宋体" w:eastAsia="宋体" w:cs="Times New Roman"/>
                <w:kern w:val="0"/>
                <w:sz w:val="21"/>
                <w:szCs w:val="20"/>
                <w:lang w:val="en-US" w:eastAsia="zh-CN" w:bidi="ar-SA"/>
              </w:rPr>
            </w:pPr>
            <w:r>
              <w:rPr>
                <w:rFonts w:hint="eastAsia" w:ascii="宋体" w:hAnsi="宋体" w:eastAsia="宋体" w:cs="Times New Roman"/>
                <w:kern w:val="0"/>
                <w:sz w:val="21"/>
                <w:szCs w:val="20"/>
                <w:lang w:val="en-US" w:eastAsia="zh-CN" w:bidi="ar-SA"/>
              </w:rPr>
              <w:t xml:space="preserve">                                                      年    月    日</w:t>
            </w:r>
          </w:p>
        </w:tc>
      </w:tr>
      <w:tr w14:paraId="10A33BF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1054" w:hRule="atLeast"/>
          <w:jc w:val="center"/>
        </w:trPr>
        <w:tc>
          <w:tcPr>
            <w:tcW w:w="2151" w:type="dxa"/>
            <w:vAlign w:val="center"/>
          </w:tcPr>
          <w:p w14:paraId="522DB0B6">
            <w:pPr>
              <w:pStyle w:val="183"/>
              <w:rPr>
                <w:rFonts w:hint="default" w:ascii="宋体" w:hAnsi="宋体" w:eastAsia="宋体" w:cs="宋体"/>
                <w:szCs w:val="18"/>
                <w:lang w:val="en-US" w:eastAsia="zh-CN"/>
              </w:rPr>
            </w:pPr>
            <w:r>
              <w:rPr>
                <w:rFonts w:hint="eastAsia" w:ascii="宋体" w:hAnsi="宋体" w:eastAsia="宋体" w:cs="Times New Roman"/>
                <w:kern w:val="0"/>
                <w:sz w:val="21"/>
                <w:szCs w:val="20"/>
                <w:lang w:val="en-US" w:eastAsia="zh-CN" w:bidi="ar-SA"/>
              </w:rPr>
              <w:t>湖南省</w:t>
            </w:r>
            <w:r>
              <w:rPr>
                <w:rFonts w:hint="eastAsia" w:ascii="宋体" w:hAnsi="宋体" w:cs="Times New Roman"/>
                <w:kern w:val="0"/>
                <w:sz w:val="21"/>
                <w:szCs w:val="20"/>
                <w:lang w:val="en-US" w:eastAsia="zh-CN" w:bidi="ar-SA"/>
              </w:rPr>
              <w:t>信用管理</w:t>
            </w:r>
            <w:r>
              <w:rPr>
                <w:rFonts w:hint="eastAsia" w:ascii="宋体" w:hAnsi="宋体" w:eastAsia="宋体" w:cs="Times New Roman"/>
                <w:kern w:val="0"/>
                <w:sz w:val="21"/>
                <w:szCs w:val="20"/>
                <w:lang w:val="en-US" w:eastAsia="zh-CN" w:bidi="ar-SA"/>
              </w:rPr>
              <w:t>协会</w:t>
            </w:r>
          </w:p>
        </w:tc>
        <w:tc>
          <w:tcPr>
            <w:tcW w:w="7411" w:type="dxa"/>
            <w:gridSpan w:val="3"/>
            <w:vAlign w:val="center"/>
          </w:tcPr>
          <w:p w14:paraId="046520CB">
            <w:pPr>
              <w:autoSpaceDE w:val="0"/>
              <w:adjustRightInd/>
              <w:spacing w:line="240" w:lineRule="auto"/>
              <w:jc w:val="center"/>
              <w:rPr>
                <w:rFonts w:hint="eastAsia" w:ascii="宋体" w:hAnsi="宋体"/>
                <w:sz w:val="18"/>
                <w:szCs w:val="18"/>
              </w:rPr>
            </w:pPr>
          </w:p>
          <w:p w14:paraId="41EAA125">
            <w:pPr>
              <w:autoSpaceDE w:val="0"/>
              <w:adjustRightInd/>
              <w:spacing w:line="240" w:lineRule="auto"/>
              <w:jc w:val="center"/>
              <w:rPr>
                <w:rFonts w:hint="eastAsia" w:ascii="宋体" w:hAnsi="宋体"/>
                <w:sz w:val="18"/>
                <w:szCs w:val="18"/>
              </w:rPr>
            </w:pPr>
          </w:p>
          <w:p w14:paraId="103CFC2C">
            <w:pPr>
              <w:autoSpaceDE w:val="0"/>
              <w:adjustRightInd/>
              <w:spacing w:line="240" w:lineRule="auto"/>
              <w:jc w:val="center"/>
              <w:rPr>
                <w:rFonts w:hint="eastAsia" w:ascii="宋体" w:hAnsi="宋体"/>
                <w:sz w:val="18"/>
                <w:szCs w:val="18"/>
              </w:rPr>
            </w:pPr>
          </w:p>
          <w:p w14:paraId="4A2216FC">
            <w:pPr>
              <w:autoSpaceDE w:val="0"/>
              <w:adjustRightInd/>
              <w:spacing w:line="240" w:lineRule="auto"/>
              <w:jc w:val="center"/>
              <w:rPr>
                <w:rFonts w:hint="eastAsia" w:ascii="宋体" w:hAnsi="宋体" w:eastAsia="宋体" w:cs="Times New Roman"/>
                <w:kern w:val="0"/>
                <w:sz w:val="21"/>
                <w:szCs w:val="20"/>
                <w:lang w:val="en-US" w:eastAsia="zh-CN" w:bidi="ar-SA"/>
              </w:rPr>
            </w:pPr>
            <w:r>
              <w:rPr>
                <w:rFonts w:hint="eastAsia" w:ascii="宋体" w:hAnsi="宋体"/>
                <w:sz w:val="18"/>
                <w:szCs w:val="18"/>
              </w:rPr>
              <w:t xml:space="preserve">                                   </w:t>
            </w:r>
            <w:r>
              <w:rPr>
                <w:rFonts w:hint="eastAsia" w:ascii="宋体" w:hAnsi="宋体" w:eastAsia="宋体" w:cs="Times New Roman"/>
                <w:kern w:val="0"/>
                <w:sz w:val="21"/>
                <w:szCs w:val="20"/>
                <w:lang w:val="en-US" w:eastAsia="zh-CN" w:bidi="ar-SA"/>
              </w:rPr>
              <w:t xml:space="preserve"> 负责人签字：   </w:t>
            </w:r>
          </w:p>
          <w:p w14:paraId="7D96BA05">
            <w:pPr>
              <w:autoSpaceDE w:val="0"/>
              <w:adjustRightInd/>
              <w:spacing w:line="240" w:lineRule="auto"/>
              <w:jc w:val="center"/>
              <w:rPr>
                <w:rFonts w:hint="eastAsia" w:ascii="宋体" w:hAnsi="宋体" w:cs="宋体"/>
                <w:szCs w:val="18"/>
              </w:rPr>
            </w:pPr>
            <w:r>
              <w:rPr>
                <w:rFonts w:hint="eastAsia" w:ascii="宋体" w:hAnsi="宋体" w:eastAsia="宋体" w:cs="Times New Roman"/>
                <w:kern w:val="0"/>
                <w:sz w:val="21"/>
                <w:szCs w:val="20"/>
                <w:lang w:val="en-US" w:eastAsia="zh-CN" w:bidi="ar-SA"/>
              </w:rPr>
              <w:t xml:space="preserve">                                            </w:t>
            </w:r>
            <w:r>
              <w:rPr>
                <w:rFonts w:hint="eastAsia" w:ascii="宋体" w:hAnsi="宋体" w:cs="Times New Roman"/>
                <w:kern w:val="0"/>
                <w:sz w:val="21"/>
                <w:szCs w:val="20"/>
                <w:lang w:val="en-US" w:eastAsia="zh-CN" w:bidi="ar-SA"/>
              </w:rPr>
              <w:t xml:space="preserve">          </w:t>
            </w:r>
            <w:r>
              <w:rPr>
                <w:rFonts w:hint="eastAsia" w:ascii="宋体" w:hAnsi="宋体" w:eastAsia="宋体" w:cs="Times New Roman"/>
                <w:kern w:val="0"/>
                <w:sz w:val="21"/>
                <w:szCs w:val="20"/>
                <w:lang w:val="en-US" w:eastAsia="zh-CN" w:bidi="ar-SA"/>
              </w:rPr>
              <w:t>年    月    日</w:t>
            </w:r>
          </w:p>
        </w:tc>
      </w:tr>
    </w:tbl>
    <w:p w14:paraId="698D0539">
      <w:pPr>
        <w:pStyle w:val="35"/>
        <w:ind w:firstLine="0" w:firstLineChars="0"/>
        <w:sectPr>
          <w:headerReference r:id="rId30" w:type="default"/>
          <w:footerReference r:id="rId32" w:type="default"/>
          <w:headerReference r:id="rId31" w:type="even"/>
          <w:footerReference r:id="rId33" w:type="even"/>
          <w:pgSz w:w="11906" w:h="16838"/>
          <w:pgMar w:top="1928" w:right="1134" w:bottom="1134" w:left="1134" w:header="1418" w:footer="1134" w:gutter="284"/>
          <w:cols w:space="425" w:num="1"/>
          <w:formProt w:val="0"/>
          <w:docGrid w:linePitch="312" w:charSpace="0"/>
        </w:sectPr>
      </w:pPr>
      <w:bookmarkStart w:id="86" w:name="BookMark6"/>
    </w:p>
    <w:p w14:paraId="2796F319">
      <w:pPr>
        <w:pStyle w:val="75"/>
        <w:spacing w:after="120"/>
        <w:jc w:val="center"/>
      </w:pPr>
      <w:bookmarkStart w:id="87" w:name="_Toc9533"/>
      <w:bookmarkStart w:id="88" w:name="_Toc24312"/>
      <w:bookmarkStart w:id="89" w:name="_Toc30593"/>
      <w:r>
        <w:rPr>
          <w:rFonts w:hint="eastAsia"/>
          <w:spacing w:val="105"/>
        </w:rPr>
        <w:t>参考文</w:t>
      </w:r>
      <w:r>
        <w:rPr>
          <w:rFonts w:hint="eastAsia"/>
        </w:rPr>
        <w:t>献</w:t>
      </w:r>
      <w:bookmarkEnd w:id="87"/>
      <w:bookmarkEnd w:id="88"/>
      <w:bookmarkEnd w:id="89"/>
    </w:p>
    <w:p w14:paraId="13ACBF34">
      <w:pPr>
        <w:pStyle w:val="35"/>
        <w:ind w:firstLine="420"/>
      </w:pPr>
    </w:p>
    <w:p w14:paraId="033D2B03">
      <w:pPr>
        <w:pStyle w:val="35"/>
        <w:numPr>
          <w:ilvl w:val="0"/>
          <w:numId w:val="36"/>
        </w:numPr>
        <w:ind w:firstLine="420"/>
        <w:rPr>
          <w:rFonts w:hint="eastAsia"/>
        </w:rPr>
      </w:pPr>
      <w:r>
        <w:rPr>
          <w:rFonts w:hint="eastAsia"/>
        </w:rPr>
        <w:t xml:space="preserve">GB/T 31950—2015 企业诚信管理体系 要求  </w:t>
      </w:r>
    </w:p>
    <w:p w14:paraId="68BD3F21">
      <w:pPr>
        <w:pStyle w:val="35"/>
        <w:numPr>
          <w:ilvl w:val="0"/>
          <w:numId w:val="36"/>
        </w:numPr>
        <w:ind w:firstLine="420"/>
        <w:rPr>
          <w:rFonts w:hint="eastAsia"/>
        </w:rPr>
      </w:pPr>
      <w:r>
        <w:rPr>
          <w:rFonts w:hint="eastAsia"/>
        </w:rPr>
        <w:t xml:space="preserve">GB/T 36000—2015 社会责任指南 </w:t>
      </w:r>
    </w:p>
    <w:p w14:paraId="6E5E7998">
      <w:pPr>
        <w:pStyle w:val="35"/>
        <w:numPr>
          <w:ilvl w:val="0"/>
          <w:numId w:val="36"/>
        </w:numPr>
        <w:ind w:firstLine="420"/>
        <w:rPr>
          <w:rFonts w:hint="eastAsia"/>
        </w:rPr>
      </w:pPr>
      <w:r>
        <w:rPr>
          <w:rFonts w:hint="eastAsia"/>
        </w:rPr>
        <w:t>DB11/T 2303-2024 行业信用评价指南</w:t>
      </w:r>
    </w:p>
    <w:p w14:paraId="770DB079">
      <w:pPr>
        <w:pStyle w:val="35"/>
        <w:numPr>
          <w:ilvl w:val="0"/>
          <w:numId w:val="36"/>
        </w:numPr>
        <w:ind w:firstLine="420"/>
        <w:rPr>
          <w:rFonts w:hint="eastAsia"/>
        </w:rPr>
      </w:pPr>
      <w:r>
        <w:rPr>
          <w:rFonts w:hint="eastAsia"/>
        </w:rPr>
        <w:t>DB33/T 1331-2023 公共信用评价规范</w:t>
      </w:r>
    </w:p>
    <w:p w14:paraId="7F95EEBF">
      <w:pPr>
        <w:pStyle w:val="35"/>
        <w:numPr>
          <w:ilvl w:val="0"/>
          <w:numId w:val="36"/>
        </w:numPr>
        <w:ind w:firstLine="420"/>
        <w:rPr>
          <w:rFonts w:hint="eastAsia"/>
        </w:rPr>
      </w:pPr>
      <w:r>
        <w:rPr>
          <w:rFonts w:hint="eastAsia"/>
        </w:rPr>
        <w:t xml:space="preserve">《中华人民共和国拍卖法》 </w:t>
      </w:r>
    </w:p>
    <w:p w14:paraId="66515402">
      <w:pPr>
        <w:pStyle w:val="35"/>
        <w:numPr>
          <w:ilvl w:val="0"/>
          <w:numId w:val="36"/>
        </w:numPr>
        <w:ind w:firstLine="420"/>
        <w:rPr>
          <w:rFonts w:hint="eastAsia"/>
        </w:rPr>
      </w:pPr>
      <w:r>
        <w:rPr>
          <w:rFonts w:hint="eastAsia"/>
        </w:rPr>
        <w:t xml:space="preserve">《拍卖管理办法》（商务部令2004年第24号）  </w:t>
      </w:r>
    </w:p>
    <w:p w14:paraId="60ED0BB1">
      <w:pPr>
        <w:pStyle w:val="35"/>
        <w:numPr>
          <w:ilvl w:val="0"/>
          <w:numId w:val="36"/>
        </w:numPr>
        <w:ind w:firstLine="420"/>
        <w:rPr>
          <w:rFonts w:hint="eastAsia"/>
        </w:rPr>
      </w:pPr>
      <w:r>
        <w:rPr>
          <w:rFonts w:hint="eastAsia"/>
        </w:rPr>
        <w:t xml:space="preserve">《中华人民共和国文物保护法》  </w:t>
      </w:r>
    </w:p>
    <w:p w14:paraId="73EF735F">
      <w:pPr>
        <w:pStyle w:val="35"/>
        <w:numPr>
          <w:ilvl w:val="0"/>
          <w:numId w:val="36"/>
        </w:numPr>
        <w:ind w:firstLine="420"/>
        <w:rPr>
          <w:rFonts w:hint="eastAsia"/>
        </w:rPr>
      </w:pPr>
      <w:r>
        <w:rPr>
          <w:rFonts w:hint="eastAsia"/>
        </w:rPr>
        <w:t xml:space="preserve">湖南省社会信用信息管理办法（湖南省人民政府令第303号）  </w:t>
      </w:r>
    </w:p>
    <w:p w14:paraId="1812115F">
      <w:pPr>
        <w:pStyle w:val="35"/>
        <w:numPr>
          <w:ilvl w:val="0"/>
          <w:numId w:val="36"/>
        </w:numPr>
        <w:ind w:firstLine="420"/>
        <w:rPr>
          <w:rFonts w:hint="eastAsia"/>
        </w:rPr>
      </w:pPr>
      <w:r>
        <w:rPr>
          <w:rFonts w:hint="eastAsia"/>
        </w:rPr>
        <w:t>湖南省社会信用分级分类管理办法（试行）（湘发改财信规〔2024〕953号）</w:t>
      </w:r>
    </w:p>
    <w:p w14:paraId="0F331F73">
      <w:pPr>
        <w:pStyle w:val="35"/>
        <w:ind w:firstLine="420"/>
      </w:pPr>
    </w:p>
    <w:bookmarkEnd w:id="86"/>
    <w:p w14:paraId="627A1AEA">
      <w:pPr>
        <w:pStyle w:val="35"/>
        <w:ind w:firstLine="0" w:firstLineChars="0"/>
        <w:jc w:val="center"/>
      </w:pPr>
      <w:bookmarkStart w:id="90" w:name="BookMark8"/>
      <w:r>
        <w:rPr>
          <w:rFonts w:hint="eastAsia"/>
        </w:rPr>
        <w:drawing>
          <wp:inline distT="0" distB="0" distL="114300" distR="114300">
            <wp:extent cx="1485900" cy="317500"/>
            <wp:effectExtent l="0" t="0" r="0" b="6350"/>
            <wp:docPr id="3" name="图片 3" descr="1"/>
            <wp:cNvGraphicFramePr/>
            <a:graphic xmlns:a="http://schemas.openxmlformats.org/drawingml/2006/main">
              <a:graphicData uri="http://schemas.openxmlformats.org/drawingml/2006/picture">
                <pic:pic xmlns:pic="http://schemas.openxmlformats.org/drawingml/2006/picture">
                  <pic:nvPicPr>
                    <pic:cNvPr id="3" name="图片 3" descr="1"/>
                    <pic:cNvPicPr/>
                  </pic:nvPicPr>
                  <pic:blipFill>
                    <a:blip r:embed="rId48"/>
                    <a:stretch>
                      <a:fillRect/>
                    </a:stretch>
                  </pic:blipFill>
                  <pic:spPr>
                    <a:xfrm>
                      <a:off x="0" y="0"/>
                      <a:ext cx="1485900" cy="317500"/>
                    </a:xfrm>
                    <a:prstGeom prst="rect">
                      <a:avLst/>
                    </a:prstGeom>
                  </pic:spPr>
                </pic:pic>
              </a:graphicData>
            </a:graphic>
          </wp:inline>
        </w:drawing>
      </w:r>
      <w:bookmarkEnd w:id="90"/>
    </w:p>
    <w:bookmarkEnd w:id="78"/>
    <w:p w14:paraId="5C07C8C0">
      <w:pPr>
        <w:pStyle w:val="35"/>
        <w:ind w:firstLine="0" w:firstLineChars="0"/>
        <w:jc w:val="both"/>
      </w:pPr>
    </w:p>
    <w:sectPr>
      <w:headerReference r:id="rId34" w:type="default"/>
      <w:footerReference r:id="rId36" w:type="default"/>
      <w:headerReference r:id="rId35" w:type="even"/>
      <w:footerReference r:id="rId37" w:type="even"/>
      <w:pgSz w:w="11906" w:h="16838"/>
      <w:pgMar w:top="1928" w:right="1134" w:bottom="1134" w:left="1134" w:header="1418" w:footer="1134" w:gutter="284"/>
      <w:cols w:space="425" w:num="1"/>
      <w:formProt w:val="0"/>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0C3095">
    <w:pPr>
      <w:pStyle w:val="17"/>
    </w:pPr>
    <w:r>
      <w:fldChar w:fldCharType="begin"/>
    </w:r>
    <w:r>
      <w:instrText xml:space="preserve">PAGE   \* MERGEFORMAT</w:instrText>
    </w:r>
    <w:r>
      <w:fldChar w:fldCharType="separate"/>
    </w:r>
    <w:r>
      <w:rPr>
        <w:lang w:val="zh-CN"/>
      </w:rP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9169B9">
    <w:pPr>
      <w:pStyle w:val="17"/>
      <w:ind w:right="720"/>
      <w:jc w:val="both"/>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54A1CB">
    <w:pPr>
      <w:pStyle w:val="65"/>
      <w:bidi w:val="0"/>
    </w:pPr>
    <w:r>
      <w:fldChar w:fldCharType="begin"/>
    </w:r>
    <w:r>
      <w:instrText xml:space="preserve">PAGE   \* MERGEFORMAT</w:instrText>
    </w:r>
    <w:r>
      <w:fldChar w:fldCharType="separate"/>
    </w:r>
    <w:r>
      <w:rPr>
        <w:lang w:val="zh-CN"/>
      </w:rPr>
      <w:t>1</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0660B6">
    <w:pPr>
      <w:pStyle w:val="64"/>
      <w:bidi w:val="0"/>
    </w:pPr>
    <w:r>
      <w:fldChar w:fldCharType="begin"/>
    </w:r>
    <w:r>
      <w:instrText xml:space="preserve"> PAGE   \* MERGEFORMAT \* MERGEFORMAT </w:instrText>
    </w:r>
    <w:r>
      <w:fldChar w:fldCharType="separate"/>
    </w:r>
    <w:r>
      <w:t>2</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CAF171">
    <w:pPr>
      <w:pStyle w:val="65"/>
      <w:bidi w:val="0"/>
    </w:pPr>
    <w:r>
      <w:fldChar w:fldCharType="begin"/>
    </w:r>
    <w:r>
      <w:instrText xml:space="preserve">PAGE   \* MERGEFORMAT</w:instrText>
    </w:r>
    <w:r>
      <w:fldChar w:fldCharType="separate"/>
    </w:r>
    <w:r>
      <w:rPr>
        <w:lang w:val="zh-CN"/>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3C0550">
    <w:pPr>
      <w:pStyle w:val="64"/>
      <w:bidi w:val="0"/>
    </w:pPr>
    <w:r>
      <w:fldChar w:fldCharType="begin"/>
    </w:r>
    <w:r>
      <w:instrText xml:space="preserve"> PAGE   \* MERGEFORMAT \* MERGEFORMAT </w:instrText>
    </w:r>
    <w:r>
      <w:fldChar w:fldCharType="separate"/>
    </w:r>
    <w:r>
      <w:t>2</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F1DEEE">
    <w:pPr>
      <w:pStyle w:val="65"/>
      <w:bidi w:val="0"/>
    </w:pPr>
    <w:r>
      <w:fldChar w:fldCharType="begin"/>
    </w:r>
    <w:r>
      <w:instrText xml:space="preserve">PAGE   \* MERGEFORMAT</w:instrText>
    </w:r>
    <w:r>
      <w:fldChar w:fldCharType="separate"/>
    </w:r>
    <w:r>
      <w:rPr>
        <w:lang w:val="zh-CN"/>
      </w:rPr>
      <w:t>1</w:t>
    </w:r>
    <w: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87888F">
    <w:pPr>
      <w:pStyle w:val="64"/>
      <w:bidi w:val="0"/>
    </w:pPr>
    <w:r>
      <w:fldChar w:fldCharType="begin"/>
    </w:r>
    <w:r>
      <w:instrText xml:space="preserve"> PAGE   \* MERGEFORMAT \* MERGEFORMAT </w:instrText>
    </w:r>
    <w:r>
      <w:fldChar w:fldCharType="separate"/>
    </w:r>
    <w:r>
      <w:t>3</w:t>
    </w:r>
    <w: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57A63E">
    <w:pPr>
      <w:pStyle w:val="65"/>
      <w:bidi w:val="0"/>
    </w:pPr>
    <w:r>
      <w:fldChar w:fldCharType="begin"/>
    </w:r>
    <w:r>
      <w:instrText xml:space="preserve">PAGE   \* MERGEFORMAT</w:instrText>
    </w:r>
    <w:r>
      <w:fldChar w:fldCharType="separate"/>
    </w:r>
    <w:r>
      <w:rPr>
        <w:lang w:val="zh-CN"/>
      </w:rPr>
      <w:t>1</w:t>
    </w:r>
    <w: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F4A1BC">
    <w:pPr>
      <w:pStyle w:val="64"/>
      <w:bidi w:val="0"/>
    </w:pPr>
    <w:r>
      <w:fldChar w:fldCharType="begin"/>
    </w:r>
    <w:r>
      <w:instrText xml:space="preserve"> PAGE   \* MERGEFORMAT \* MERGEFORMAT </w:instrText>
    </w:r>
    <w:r>
      <w:fldChar w:fldCharType="separate"/>
    </w:r>
    <w:r>
      <w:t>3</w:t>
    </w:r>
    <w: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6EF5B7">
    <w:pPr>
      <w:pStyle w:val="65"/>
      <w:bidi w:val="0"/>
    </w:pPr>
    <w:r>
      <w:fldChar w:fldCharType="begin"/>
    </w:r>
    <w:r>
      <w:instrText xml:space="preserve">PAGE   \* MERGEFORMAT</w:instrText>
    </w:r>
    <w:r>
      <w:fldChar w:fldCharType="separate"/>
    </w:r>
    <w:r>
      <w:rPr>
        <w:lang w:val="zh-CN"/>
      </w:rPr>
      <w:t>1</w:t>
    </w:r>
    <w:r>
      <w:fldChar w:fldCharType="end"/>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A173A7">
    <w:pPr>
      <w:pStyle w:val="64"/>
      <w:bidi w:val="0"/>
    </w:pPr>
    <w:r>
      <w:fldChar w:fldCharType="begin"/>
    </w:r>
    <w:r>
      <w:instrText xml:space="preserve"> PAGE   \* MERGEFORMAT \* MERGEFORMAT </w:instrText>
    </w:r>
    <w:r>
      <w:fldChar w:fldCharType="separate"/>
    </w:r>
    <w:r>
      <w:t>10</w:t>
    </w:r>
    <w:r>
      <w:fldChar w:fldCharType="end"/>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3B984B">
    <w:pPr>
      <w:pStyle w:val="65"/>
      <w:bidi w:val="0"/>
    </w:pPr>
    <w:r>
      <w:fldChar w:fldCharType="begin"/>
    </w:r>
    <w:r>
      <w:instrText xml:space="preserve">PAGE   \* MERGEFORMAT</w:instrText>
    </w:r>
    <w:r>
      <w:fldChar w:fldCharType="separate"/>
    </w:r>
    <w:r>
      <w:rPr>
        <w:lang w:val="zh-CN"/>
      </w:rPr>
      <w:t>1</w:t>
    </w:r>
    <w:r>
      <w:fldChar w:fldCharType="end"/>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12B4B5">
    <w:pPr>
      <w:pStyle w:val="64"/>
      <w:bidi w:val="0"/>
    </w:pPr>
    <w:r>
      <w:fldChar w:fldCharType="begin"/>
    </w:r>
    <w:r>
      <w:instrText xml:space="preserve"> PAGE   \* MERGEFORMAT \* MERGEFORMAT </w:instrText>
    </w:r>
    <w:r>
      <w:fldChar w:fldCharType="separate"/>
    </w:r>
    <w:r>
      <w:t>22</w:t>
    </w:r>
    <w:r>
      <w:fldChar w:fldCharType="end"/>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C3F95E">
    <w:pPr>
      <w:pStyle w:val="65"/>
      <w:bidi w:val="0"/>
    </w:pPr>
    <w:r>
      <w:fldChar w:fldCharType="begin"/>
    </w:r>
    <w:r>
      <w:instrText xml:space="preserve">PAGE   \* MERGEFORMAT</w:instrText>
    </w:r>
    <w:r>
      <w:fldChar w:fldCharType="separate"/>
    </w:r>
    <w:r>
      <w:rPr>
        <w:lang w:val="zh-CN"/>
      </w:rPr>
      <w:t>1</w:t>
    </w:r>
    <w:r>
      <w:fldChar w:fldCharType="end"/>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177F7E">
    <w:pPr>
      <w:pStyle w:val="64"/>
      <w:bidi w:val="0"/>
    </w:pPr>
    <w:r>
      <w:fldChar w:fldCharType="begin"/>
    </w:r>
    <w:r>
      <w:instrText xml:space="preserve"> PAGE   \* MERGEFORMAT \* MERGEFORMAT </w:instrText>
    </w:r>
    <w:r>
      <w:fldChar w:fldCharType="separate"/>
    </w:r>
    <w:r>
      <w:t>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603C1B">
    <w:pPr>
      <w:pStyle w:val="18"/>
      <w:wordWrap w:val="0"/>
      <w:jc w:val="right"/>
      <w:rPr>
        <w:rFonts w:hint="eastAsia" w:ascii="黑体" w:hAnsi="黑体" w:eastAsia="黑体"/>
      </w:rPr>
    </w:pPr>
    <w:r>
      <w:rPr>
        <w:rFonts w:ascii="黑体" w:hAnsi="黑体" w:eastAsia="黑体"/>
      </w:rPr>
      <w:t>Q/LB.</w:t>
    </w:r>
    <w:r>
      <w:rPr>
        <w:rFonts w:hint="eastAsia" w:ascii="黑体" w:hAnsi="黑体" w:eastAsia="黑体"/>
      </w:rPr>
      <w:t>□</w:t>
    </w:r>
    <w:r>
      <w:rPr>
        <w:rFonts w:ascii="黑体" w:hAnsi="黑体" w:eastAsia="黑体"/>
      </w:rPr>
      <w:t>XXXXX-XXXX</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732F0B">
    <w:pPr>
      <w:pStyle w:val="1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58B3E5">
    <w:pPr>
      <w:pStyle w:val="18"/>
      <w:jc w:val="both"/>
      <w:rPr>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5990C2">
    <w:pPr>
      <w:pStyle w:val="73"/>
      <w:bidi w:val="0"/>
      <w:rPr>
        <w:rFonts w:hint="eastAsia"/>
      </w:rPr>
    </w:pPr>
    <w:r>
      <w:fldChar w:fldCharType="begin"/>
    </w:r>
    <w:r>
      <w:instrText xml:space="preserve"> STYLEREF  标准文件_文件编号  \* MERGEFORMAT </w:instrText>
    </w:r>
    <w:r>
      <w:fldChar w:fldCharType="separate"/>
    </w:r>
    <w:r>
      <w:t>T/HNXY 0008—2026</w:t>
    </w:r>
    <w: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849AEC">
    <w:pPr>
      <w:pStyle w:val="74"/>
      <w:bidi w:val="0"/>
      <w:rPr>
        <w:rFonts w:hint="eastAsia"/>
      </w:rPr>
    </w:pPr>
    <w:r>
      <w:fldChar w:fldCharType="begin"/>
    </w:r>
    <w:r>
      <w:instrText xml:space="preserve"> STYLEREF  标准文件_文件编号 \* MERGEFORMAT </w:instrText>
    </w:r>
    <w:r>
      <w:fldChar w:fldCharType="separate"/>
    </w:r>
    <w:r>
      <w:t>T/HNXY 0008—2026</w:t>
    </w:r>
    <w: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4BC46E">
    <w:pPr>
      <w:pStyle w:val="73"/>
      <w:bidi w:val="0"/>
      <w:rPr>
        <w:rFonts w:hint="eastAsia"/>
      </w:rPr>
    </w:pPr>
    <w:r>
      <w:fldChar w:fldCharType="begin"/>
    </w:r>
    <w:r>
      <w:instrText xml:space="preserve"> STYLEREF  标准文件_文件编号  \* MERGEFORMAT </w:instrText>
    </w:r>
    <w:r>
      <w:fldChar w:fldCharType="separate"/>
    </w:r>
    <w:r>
      <w:t>T/HNXY 0008—2026</w:t>
    </w:r>
    <w: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80BA60">
    <w:pPr>
      <w:pStyle w:val="74"/>
      <w:bidi w:val="0"/>
      <w:rPr>
        <w:rFonts w:hint="eastAsia"/>
      </w:rPr>
    </w:pPr>
    <w:r>
      <w:fldChar w:fldCharType="begin"/>
    </w:r>
    <w:r>
      <w:instrText xml:space="preserve"> STYLEREF  标准文件_文件编号 \* MERGEFORMAT </w:instrText>
    </w:r>
    <w:r>
      <w:fldChar w:fldCharType="separate"/>
    </w:r>
    <w:r>
      <w:t>T/HNXY 0008—2026</w:t>
    </w:r>
    <w: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1C7606">
    <w:pPr>
      <w:pStyle w:val="73"/>
      <w:bidi w:val="0"/>
      <w:rPr>
        <w:rFonts w:hint="eastAsia"/>
      </w:rPr>
    </w:pPr>
    <w:r>
      <w:fldChar w:fldCharType="begin"/>
    </w:r>
    <w:r>
      <w:instrText xml:space="preserve"> STYLEREF  标准文件_文件编号  \* MERGEFORMAT </w:instrText>
    </w:r>
    <w:r>
      <w:fldChar w:fldCharType="separate"/>
    </w:r>
    <w:r>
      <w:t>T/HNXY 0008—2026</w:t>
    </w:r>
    <w:r>
      <w:fldChar w:fldCharType="end"/>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B9F095">
    <w:pPr>
      <w:pStyle w:val="74"/>
      <w:bidi w:val="0"/>
      <w:rPr>
        <w:rFonts w:hint="eastAsia"/>
      </w:rPr>
    </w:pPr>
    <w:r>
      <w:fldChar w:fldCharType="begin"/>
    </w:r>
    <w:r>
      <w:instrText xml:space="preserve"> STYLEREF  标准文件_文件编号 \* MERGEFORMAT </w:instrText>
    </w:r>
    <w:r>
      <w:fldChar w:fldCharType="separate"/>
    </w:r>
    <w:r>
      <w:t>T/HNXY 0008—2026</w:t>
    </w:r>
    <w:r>
      <w:fldChar w:fldCharType="end"/>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04C41C">
    <w:pPr>
      <w:pStyle w:val="73"/>
      <w:bidi w:val="0"/>
      <w:rPr>
        <w:rFonts w:hint="eastAsia"/>
      </w:rPr>
    </w:pPr>
    <w:r>
      <w:fldChar w:fldCharType="begin"/>
    </w:r>
    <w:r>
      <w:instrText xml:space="preserve"> STYLEREF  标准文件_文件编号  \* MERGEFORMAT </w:instrText>
    </w:r>
    <w:r>
      <w:fldChar w:fldCharType="separate"/>
    </w:r>
    <w:r>
      <w:t>T/HNXY 0008—2026</w:t>
    </w:r>
    <w:r>
      <w:fldChar w:fldCharType="end"/>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F84A7E">
    <w:pPr>
      <w:pStyle w:val="74"/>
      <w:bidi w:val="0"/>
      <w:rPr>
        <w:rFonts w:hint="eastAsia"/>
      </w:rPr>
    </w:pPr>
    <w:r>
      <w:fldChar w:fldCharType="begin"/>
    </w:r>
    <w:r>
      <w:instrText xml:space="preserve"> STYLEREF  标准文件_文件编号 \* MERGEFORMAT </w:instrText>
    </w:r>
    <w:r>
      <w:fldChar w:fldCharType="separate"/>
    </w:r>
    <w:r>
      <w:t>T/HNXY 0008—2026</w:t>
    </w:r>
    <w:r>
      <w:fldChar w:fldCharType="end"/>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330BE0">
    <w:pPr>
      <w:pStyle w:val="73"/>
      <w:bidi w:val="0"/>
      <w:rPr>
        <w:rFonts w:hint="eastAsia"/>
      </w:rPr>
    </w:pPr>
    <w:r>
      <w:fldChar w:fldCharType="begin"/>
    </w:r>
    <w:r>
      <w:instrText xml:space="preserve"> STYLEREF  标准文件_文件编号  \* MERGEFORMAT </w:instrText>
    </w:r>
    <w:r>
      <w:fldChar w:fldCharType="separate"/>
    </w:r>
    <w:r>
      <w:t>T/HNXY 0008—2026</w:t>
    </w:r>
    <w:r>
      <w:fldChar w:fldCharType="end"/>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3CE0BD">
    <w:pPr>
      <w:pStyle w:val="74"/>
      <w:bidi w:val="0"/>
      <w:rPr>
        <w:rFonts w:hint="eastAsia"/>
      </w:rPr>
    </w:pPr>
    <w:r>
      <w:fldChar w:fldCharType="begin"/>
    </w:r>
    <w:r>
      <w:instrText xml:space="preserve"> STYLEREF  标准文件_文件编号 \* MERGEFORMAT </w:instrText>
    </w:r>
    <w:r>
      <w:fldChar w:fldCharType="separate"/>
    </w:r>
    <w:r>
      <w:t>T/HNXY 0008—2026</w:t>
    </w:r>
    <w:r>
      <w:fldChar w:fldCharType="end"/>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EA8299">
    <w:pPr>
      <w:pStyle w:val="73"/>
      <w:bidi w:val="0"/>
      <w:rPr>
        <w:rFonts w:hint="eastAsia"/>
      </w:rPr>
    </w:pPr>
    <w:r>
      <w:fldChar w:fldCharType="begin"/>
    </w:r>
    <w:r>
      <w:instrText xml:space="preserve"> STYLEREF  标准文件_文件编号  \* MERGEFORMAT </w:instrText>
    </w:r>
    <w:r>
      <w:fldChar w:fldCharType="separate"/>
    </w:r>
    <w:r>
      <w:t>T/HNXY 0008—2026</w:t>
    </w:r>
    <w:r>
      <w:fldChar w:fldCharType="end"/>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3F3CD0">
    <w:pPr>
      <w:pStyle w:val="74"/>
      <w:bidi w:val="0"/>
      <w:rPr>
        <w:rFonts w:hint="eastAsia"/>
      </w:rPr>
    </w:pPr>
    <w:r>
      <w:fldChar w:fldCharType="begin"/>
    </w:r>
    <w:r>
      <w:instrText xml:space="preserve"> STYLEREF  标准文件_文件编号 \* MERGEFORMAT </w:instrText>
    </w:r>
    <w:r>
      <w:fldChar w:fldCharType="separate"/>
    </w:r>
    <w:r>
      <w:t>T/HNXY 0008—2026</w:t>
    </w:r>
    <w:r>
      <w:fldChar w:fldCharType="end"/>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DCAD91">
    <w:pPr>
      <w:pStyle w:val="73"/>
      <w:bidi w:val="0"/>
      <w:rPr>
        <w:rFonts w:hint="eastAsia"/>
      </w:rPr>
    </w:pPr>
    <w:r>
      <w:fldChar w:fldCharType="begin"/>
    </w:r>
    <w:r>
      <w:instrText xml:space="preserve"> STYLEREF  标准文件_文件编号  \* MERGEFORMAT </w:instrText>
    </w:r>
    <w:r>
      <w:fldChar w:fldCharType="separate"/>
    </w:r>
    <w:r>
      <w:t>T/HNXY 0008—2026</w:t>
    </w:r>
    <w:r>
      <w:fldChar w:fldCharType="end"/>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3A1925">
    <w:pPr>
      <w:pStyle w:val="74"/>
      <w:bidi w:val="0"/>
      <w:rPr>
        <w:rFonts w:hint="eastAsia"/>
      </w:rPr>
    </w:pPr>
    <w:r>
      <w:fldChar w:fldCharType="begin"/>
    </w:r>
    <w:r>
      <w:instrText xml:space="preserve"> STYLEREF  标准文件_文件编号 \* MERGEFORMAT </w:instrText>
    </w:r>
    <w:r>
      <w:fldChar w:fldCharType="separate"/>
    </w:r>
    <w:r>
      <w:t>T/HNXY 0008—2026</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837933"/>
    <w:multiLevelType w:val="multilevel"/>
    <w:tmpl w:val="02837933"/>
    <w:lvl w:ilvl="0" w:tentative="0">
      <w:start w:val="1"/>
      <w:numFmt w:val="decimal"/>
      <w:pStyle w:val="76"/>
      <w:lvlText w:val="[%1]"/>
      <w:lvlJc w:val="left"/>
      <w:pPr>
        <w:tabs>
          <w:tab w:val="left" w:pos="1646"/>
        </w:tabs>
        <w:ind w:left="1646" w:hanging="648"/>
      </w:pPr>
    </w:lvl>
    <w:lvl w:ilvl="1" w:tentative="0">
      <w:start w:val="1"/>
      <w:numFmt w:val="lowerLetter"/>
      <w:lvlText w:val="%2)"/>
      <w:lvlJc w:val="left"/>
      <w:pPr>
        <w:tabs>
          <w:tab w:val="left" w:pos="1838"/>
        </w:tabs>
        <w:ind w:left="1838" w:hanging="420"/>
      </w:pPr>
    </w:lvl>
    <w:lvl w:ilvl="2" w:tentative="0">
      <w:start w:val="1"/>
      <w:numFmt w:val="lowerRoman"/>
      <w:lvlText w:val="%3."/>
      <w:lvlJc w:val="right"/>
      <w:pPr>
        <w:tabs>
          <w:tab w:val="left" w:pos="2258"/>
        </w:tabs>
        <w:ind w:left="2258" w:hanging="420"/>
      </w:pPr>
    </w:lvl>
    <w:lvl w:ilvl="3" w:tentative="0">
      <w:start w:val="1"/>
      <w:numFmt w:val="decimal"/>
      <w:lvlText w:val="%4."/>
      <w:lvlJc w:val="left"/>
      <w:pPr>
        <w:tabs>
          <w:tab w:val="left" w:pos="2678"/>
        </w:tabs>
        <w:ind w:left="2678" w:hanging="420"/>
      </w:pPr>
    </w:lvl>
    <w:lvl w:ilvl="4" w:tentative="0">
      <w:start w:val="1"/>
      <w:numFmt w:val="lowerLetter"/>
      <w:lvlText w:val="%5)"/>
      <w:lvlJc w:val="left"/>
      <w:pPr>
        <w:tabs>
          <w:tab w:val="left" w:pos="3098"/>
        </w:tabs>
        <w:ind w:left="3098" w:hanging="420"/>
      </w:pPr>
    </w:lvl>
    <w:lvl w:ilvl="5" w:tentative="0">
      <w:start w:val="1"/>
      <w:numFmt w:val="lowerRoman"/>
      <w:lvlText w:val="%6."/>
      <w:lvlJc w:val="right"/>
      <w:pPr>
        <w:tabs>
          <w:tab w:val="left" w:pos="3518"/>
        </w:tabs>
        <w:ind w:left="3518" w:hanging="420"/>
      </w:pPr>
    </w:lvl>
    <w:lvl w:ilvl="6" w:tentative="0">
      <w:start w:val="1"/>
      <w:numFmt w:val="decimal"/>
      <w:lvlText w:val="%7."/>
      <w:lvlJc w:val="left"/>
      <w:pPr>
        <w:tabs>
          <w:tab w:val="left" w:pos="3938"/>
        </w:tabs>
        <w:ind w:left="3938" w:hanging="420"/>
      </w:pPr>
    </w:lvl>
    <w:lvl w:ilvl="7" w:tentative="0">
      <w:start w:val="1"/>
      <w:numFmt w:val="lowerLetter"/>
      <w:lvlText w:val="%8)"/>
      <w:lvlJc w:val="left"/>
      <w:pPr>
        <w:tabs>
          <w:tab w:val="left" w:pos="4358"/>
        </w:tabs>
        <w:ind w:left="4358" w:hanging="420"/>
      </w:pPr>
    </w:lvl>
    <w:lvl w:ilvl="8" w:tentative="0">
      <w:start w:val="1"/>
      <w:numFmt w:val="lowerRoman"/>
      <w:lvlText w:val="%9."/>
      <w:lvlJc w:val="right"/>
      <w:pPr>
        <w:tabs>
          <w:tab w:val="left" w:pos="4778"/>
        </w:tabs>
        <w:ind w:left="4778" w:hanging="420"/>
      </w:pPr>
    </w:lvl>
  </w:abstractNum>
  <w:abstractNum w:abstractNumId="1">
    <w:nsid w:val="040A15CD"/>
    <w:multiLevelType w:val="multilevel"/>
    <w:tmpl w:val="040A15CD"/>
    <w:lvl w:ilvl="0" w:tentative="0">
      <w:start w:val="1"/>
      <w:numFmt w:val="none"/>
      <w:suff w:val="nothing"/>
      <w:lvlText w:val="　"/>
      <w:lvlJc w:val="left"/>
      <w:pPr>
        <w:ind w:left="0" w:firstLine="0"/>
      </w:pPr>
    </w:lvl>
    <w:lvl w:ilvl="1" w:tentative="0">
      <w:start w:val="1"/>
      <w:numFmt w:val="decimal"/>
      <w:isLgl/>
      <w:suff w:val="nothing"/>
      <w:lvlText w:val="%2　"/>
      <w:lvlJc w:val="left"/>
      <w:pPr>
        <w:ind w:left="0" w:firstLine="0"/>
      </w:pPr>
    </w:lvl>
    <w:lvl w:ilvl="2" w:tentative="0">
      <w:start w:val="1"/>
      <w:numFmt w:val="decimal"/>
      <w:pStyle w:val="164"/>
      <w:suff w:val="nothing"/>
      <w:lvlText w:val="%1%2.%3　"/>
      <w:lvlJc w:val="left"/>
      <w:pPr>
        <w:ind w:left="0" w:firstLine="0"/>
      </w:pPr>
    </w:lvl>
    <w:lvl w:ilvl="3" w:tentative="0">
      <w:start w:val="1"/>
      <w:numFmt w:val="decimal"/>
      <w:pStyle w:val="124"/>
      <w:suff w:val="nothing"/>
      <w:lvlText w:val="%1%2.%3.%4　"/>
      <w:lvlJc w:val="left"/>
      <w:pPr>
        <w:ind w:left="0" w:firstLine="0"/>
      </w:pPr>
    </w:lvl>
    <w:lvl w:ilvl="4" w:tentative="0">
      <w:start w:val="1"/>
      <w:numFmt w:val="decimal"/>
      <w:pStyle w:val="158"/>
      <w:suff w:val="nothing"/>
      <w:lvlText w:val="%1%2.%3.%4.%5　"/>
      <w:lvlJc w:val="left"/>
      <w:pPr>
        <w:ind w:left="0" w:firstLine="0"/>
      </w:pPr>
    </w:lvl>
    <w:lvl w:ilvl="5" w:tentative="0">
      <w:start w:val="1"/>
      <w:numFmt w:val="decimal"/>
      <w:pStyle w:val="160"/>
      <w:suff w:val="nothing"/>
      <w:lvlText w:val="%1%2.%3.%4.%5.%6　"/>
      <w:lvlJc w:val="left"/>
      <w:pPr>
        <w:ind w:left="0" w:firstLine="0"/>
      </w:pPr>
    </w:lvl>
    <w:lvl w:ilvl="6" w:tentative="0">
      <w:start w:val="1"/>
      <w:numFmt w:val="decimal"/>
      <w:pStyle w:val="163"/>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2">
    <w:nsid w:val="079102AD"/>
    <w:multiLevelType w:val="multilevel"/>
    <w:tmpl w:val="079102AD"/>
    <w:lvl w:ilvl="0" w:tentative="0">
      <w:start w:val="1"/>
      <w:numFmt w:val="decimal"/>
      <w:pStyle w:val="185"/>
      <w:suff w:val="nothing"/>
      <w:lvlText w:val="注%1："/>
      <w:lvlJc w:val="left"/>
      <w:pPr>
        <w:ind w:left="811" w:hanging="448"/>
      </w:pPr>
      <w:rPr>
        <w:rFonts w:hint="eastAsia" w:ascii="黑体" w:eastAsia="黑体"/>
        <w:b w:val="0"/>
        <w:i w:val="0"/>
        <w:sz w:val="18"/>
      </w:rPr>
    </w:lvl>
    <w:lvl w:ilvl="1" w:tentative="0">
      <w:start w:val="1"/>
      <w:numFmt w:val="lowerLetter"/>
      <w:lvlText w:val="%2)"/>
      <w:lvlJc w:val="left"/>
      <w:pPr>
        <w:tabs>
          <w:tab w:val="left" w:pos="0"/>
        </w:tabs>
        <w:ind w:left="992" w:hanging="629"/>
      </w:pPr>
      <w:rPr>
        <w:rFonts w:hint="eastAsia"/>
      </w:rPr>
    </w:lvl>
    <w:lvl w:ilvl="2" w:tentative="0">
      <w:start w:val="1"/>
      <w:numFmt w:val="lowerRoman"/>
      <w:lvlText w:val="%3."/>
      <w:lvlJc w:val="right"/>
      <w:pPr>
        <w:tabs>
          <w:tab w:val="left" w:pos="0"/>
        </w:tabs>
        <w:ind w:left="992" w:hanging="629"/>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3">
    <w:nsid w:val="07ED3FEA"/>
    <w:multiLevelType w:val="multilevel"/>
    <w:tmpl w:val="07ED3FEA"/>
    <w:lvl w:ilvl="0" w:tentative="0">
      <w:start w:val="1"/>
      <w:numFmt w:val="none"/>
      <w:pStyle w:val="100"/>
      <w:lvlText w:val="%1"/>
      <w:lvlJc w:val="left"/>
      <w:pPr>
        <w:ind w:left="425" w:hanging="425"/>
      </w:pPr>
      <w:rPr>
        <w:rFonts w:hint="eastAsia"/>
      </w:rPr>
    </w:lvl>
    <w:lvl w:ilvl="1" w:tentative="0">
      <w:start w:val="1"/>
      <w:numFmt w:val="decimal"/>
      <w:pStyle w:val="34"/>
      <w:suff w:val="nothing"/>
      <w:lvlText w:val="%10.%2 "/>
      <w:lvlJc w:val="left"/>
      <w:pPr>
        <w:ind w:left="0" w:firstLine="0"/>
      </w:pPr>
      <w:rPr>
        <w:rFonts w:hint="eastAsia" w:ascii="黑体" w:eastAsia="黑体" w:hAnsiTheme="minorHAnsi"/>
        <w:b w:val="0"/>
        <w:i w:val="0"/>
        <w:sz w:val="21"/>
      </w:rPr>
    </w:lvl>
    <w:lvl w:ilvl="2" w:tentative="0">
      <w:start w:val="1"/>
      <w:numFmt w:val="decimal"/>
      <w:pStyle w:val="36"/>
      <w:suff w:val="nothing"/>
      <w:lvlText w:val="%10.%2.%3 "/>
      <w:lvlJc w:val="left"/>
      <w:pPr>
        <w:ind w:left="0" w:firstLine="0"/>
      </w:pPr>
      <w:rPr>
        <w:rFonts w:hint="eastAsia" w:ascii="黑体" w:eastAsia="黑体" w:hAnsiTheme="minorHAnsi"/>
        <w:b w:val="0"/>
        <w:i w:val="0"/>
        <w:sz w:val="21"/>
      </w:rPr>
    </w:lvl>
    <w:lvl w:ilvl="3" w:tentative="0">
      <w:start w:val="1"/>
      <w:numFmt w:val="decimal"/>
      <w:pStyle w:val="37"/>
      <w:suff w:val="nothing"/>
      <w:lvlText w:val="%10.%2.%3.%4 "/>
      <w:lvlJc w:val="left"/>
      <w:pPr>
        <w:ind w:left="0" w:firstLine="0"/>
      </w:pPr>
      <w:rPr>
        <w:rFonts w:hint="eastAsia" w:ascii="黑体" w:eastAsia="黑体" w:hAnsiTheme="minorHAnsi"/>
        <w:b w:val="0"/>
        <w:i w:val="0"/>
        <w:sz w:val="21"/>
      </w:rPr>
    </w:lvl>
    <w:lvl w:ilvl="4" w:tentative="0">
      <w:start w:val="1"/>
      <w:numFmt w:val="decimal"/>
      <w:pStyle w:val="38"/>
      <w:suff w:val="nothing"/>
      <w:lvlText w:val="%10.%2.%3.%4.%5 "/>
      <w:lvlJc w:val="left"/>
      <w:pPr>
        <w:ind w:left="0" w:firstLine="0"/>
      </w:pPr>
      <w:rPr>
        <w:rFonts w:hint="eastAsia" w:ascii="黑体" w:eastAsia="黑体" w:hAnsiTheme="minorHAnsi"/>
        <w:b w:val="0"/>
        <w:i w:val="0"/>
        <w:sz w:val="21"/>
      </w:rPr>
    </w:lvl>
    <w:lvl w:ilvl="5" w:tentative="0">
      <w:start w:val="1"/>
      <w:numFmt w:val="decimal"/>
      <w:pStyle w:val="39"/>
      <w:suff w:val="nothing"/>
      <w:lvlText w:val="%10.%2.%3.%4.%5.%6 "/>
      <w:lvlJc w:val="left"/>
      <w:pPr>
        <w:ind w:left="0" w:firstLine="0"/>
      </w:pPr>
      <w:rPr>
        <w:rFonts w:hint="eastAsia" w:ascii="黑体" w:eastAsia="黑体" w:hAnsiTheme="minorHAnsi"/>
        <w:b w:val="0"/>
        <w:i w:val="0"/>
        <w:sz w:val="21"/>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
    <w:nsid w:val="0AE367E9"/>
    <w:multiLevelType w:val="multilevel"/>
    <w:tmpl w:val="0AE367E9"/>
    <w:lvl w:ilvl="0" w:tentative="0">
      <w:start w:val="1"/>
      <w:numFmt w:val="none"/>
      <w:pStyle w:val="186"/>
      <w:suff w:val="nothing"/>
      <w:lvlText w:val="%1示例："/>
      <w:lvlJc w:val="left"/>
      <w:pPr>
        <w:ind w:left="0" w:firstLine="363"/>
      </w:pPr>
      <w:rPr>
        <w:rFonts w:hint="eastAsia" w:ascii="黑体" w:eastAsia="黑体"/>
        <w:b w:val="0"/>
        <w:i w:val="0"/>
        <w:sz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5">
    <w:nsid w:val="0BDC1670"/>
    <w:multiLevelType w:val="multilevel"/>
    <w:tmpl w:val="0BDC1670"/>
    <w:lvl w:ilvl="0" w:tentative="0">
      <w:start w:val="1"/>
      <w:numFmt w:val="decimal"/>
      <w:pStyle w:val="78"/>
      <w:lvlText w:val="[%1]"/>
      <w:lvlJc w:val="left"/>
      <w:pPr>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D051F45"/>
    <w:multiLevelType w:val="multilevel"/>
    <w:tmpl w:val="0D051F45"/>
    <w:lvl w:ilvl="0" w:tentative="0">
      <w:start w:val="1"/>
      <w:numFmt w:val="lowerRoman"/>
      <w:pStyle w:val="174"/>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543"/>
        </w:tabs>
        <w:ind w:left="1543" w:hanging="420"/>
      </w:pPr>
      <w:rPr>
        <w:rFonts w:hint="eastAsia"/>
      </w:rPr>
    </w:lvl>
    <w:lvl w:ilvl="2" w:tentative="0">
      <w:start w:val="1"/>
      <w:numFmt w:val="lowerRoman"/>
      <w:lvlText w:val="%3."/>
      <w:lvlJc w:val="right"/>
      <w:pPr>
        <w:tabs>
          <w:tab w:val="left" w:pos="1963"/>
        </w:tabs>
        <w:ind w:left="1963" w:hanging="420"/>
      </w:pPr>
      <w:rPr>
        <w:rFonts w:hint="eastAsia"/>
      </w:rPr>
    </w:lvl>
    <w:lvl w:ilvl="3" w:tentative="0">
      <w:start w:val="1"/>
      <w:numFmt w:val="decimal"/>
      <w:lvlText w:val="%4."/>
      <w:lvlJc w:val="left"/>
      <w:pPr>
        <w:tabs>
          <w:tab w:val="left" w:pos="2383"/>
        </w:tabs>
        <w:ind w:left="2383" w:hanging="420"/>
      </w:pPr>
      <w:rPr>
        <w:rFonts w:hint="eastAsia"/>
      </w:rPr>
    </w:lvl>
    <w:lvl w:ilvl="4" w:tentative="0">
      <w:start w:val="1"/>
      <w:numFmt w:val="lowerLetter"/>
      <w:lvlText w:val="%5)"/>
      <w:lvlJc w:val="left"/>
      <w:pPr>
        <w:tabs>
          <w:tab w:val="left" w:pos="2803"/>
        </w:tabs>
        <w:ind w:left="2803" w:hanging="420"/>
      </w:pPr>
      <w:rPr>
        <w:rFonts w:hint="eastAsia"/>
      </w:rPr>
    </w:lvl>
    <w:lvl w:ilvl="5" w:tentative="0">
      <w:start w:val="1"/>
      <w:numFmt w:val="lowerRoman"/>
      <w:lvlText w:val="%6."/>
      <w:lvlJc w:val="right"/>
      <w:pPr>
        <w:tabs>
          <w:tab w:val="left" w:pos="3223"/>
        </w:tabs>
        <w:ind w:left="3223" w:hanging="420"/>
      </w:pPr>
      <w:rPr>
        <w:rFonts w:hint="eastAsia"/>
      </w:rPr>
    </w:lvl>
    <w:lvl w:ilvl="6" w:tentative="0">
      <w:start w:val="1"/>
      <w:numFmt w:val="decimal"/>
      <w:lvlText w:val="%7."/>
      <w:lvlJc w:val="left"/>
      <w:pPr>
        <w:tabs>
          <w:tab w:val="left" w:pos="3643"/>
        </w:tabs>
        <w:ind w:left="3643" w:hanging="420"/>
      </w:pPr>
      <w:rPr>
        <w:rFonts w:hint="eastAsia"/>
      </w:rPr>
    </w:lvl>
    <w:lvl w:ilvl="7" w:tentative="0">
      <w:start w:val="1"/>
      <w:numFmt w:val="lowerLetter"/>
      <w:lvlText w:val="%8)"/>
      <w:lvlJc w:val="left"/>
      <w:pPr>
        <w:tabs>
          <w:tab w:val="left" w:pos="4063"/>
        </w:tabs>
        <w:ind w:left="4063" w:hanging="420"/>
      </w:pPr>
      <w:rPr>
        <w:rFonts w:hint="eastAsia"/>
      </w:rPr>
    </w:lvl>
    <w:lvl w:ilvl="8" w:tentative="0">
      <w:start w:val="1"/>
      <w:numFmt w:val="lowerRoman"/>
      <w:lvlText w:val="%9."/>
      <w:lvlJc w:val="right"/>
      <w:pPr>
        <w:tabs>
          <w:tab w:val="left" w:pos="4483"/>
        </w:tabs>
        <w:ind w:left="4483" w:hanging="420"/>
      </w:pPr>
      <w:rPr>
        <w:rFonts w:hint="eastAsia"/>
      </w:rPr>
    </w:lvl>
  </w:abstractNum>
  <w:abstractNum w:abstractNumId="7">
    <w:nsid w:val="1AD20F90"/>
    <w:multiLevelType w:val="multilevel"/>
    <w:tmpl w:val="1AD20F90"/>
    <w:lvl w:ilvl="0" w:tentative="0">
      <w:start w:val="1"/>
      <w:numFmt w:val="none"/>
      <w:pStyle w:val="116"/>
      <w:lvlText w:val="%1注："/>
      <w:lvlJc w:val="left"/>
      <w:pPr>
        <w:tabs>
          <w:tab w:val="left" w:pos="845"/>
        </w:tabs>
        <w:ind w:left="-102" w:firstLine="419"/>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1AF15012"/>
    <w:multiLevelType w:val="multilevel"/>
    <w:tmpl w:val="1AF15012"/>
    <w:lvl w:ilvl="0" w:tentative="0">
      <w:start w:val="1"/>
      <w:numFmt w:val="upperLetter"/>
      <w:pStyle w:val="96"/>
      <w:suff w:val="nothing"/>
      <w:lvlText w:val="附 录(Annex) %1"/>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9">
    <w:nsid w:val="1EAA1992"/>
    <w:multiLevelType w:val="multilevel"/>
    <w:tmpl w:val="1EAA1992"/>
    <w:lvl w:ilvl="0" w:tentative="0">
      <w:start w:val="1"/>
      <w:numFmt w:val="none"/>
      <w:pStyle w:val="103"/>
      <w:suff w:val="nothing"/>
      <w:lvlText w:val="——"/>
      <w:lvlJc w:val="left"/>
      <w:pPr>
        <w:ind w:left="794" w:hanging="397"/>
      </w:pPr>
    </w:lvl>
    <w:lvl w:ilvl="1" w:tentative="0">
      <w:start w:val="1"/>
      <w:numFmt w:val="decimal"/>
      <w:suff w:val="nothing"/>
      <w:lvlText w:val="%1.%2　"/>
      <w:lvlJc w:val="left"/>
      <w:pPr>
        <w:ind w:left="397" w:firstLine="0"/>
      </w:pPr>
    </w:lvl>
    <w:lvl w:ilvl="2" w:tentative="0">
      <w:start w:val="1"/>
      <w:numFmt w:val="decimal"/>
      <w:suff w:val="nothing"/>
      <w:lvlText w:val="%1.%2.%3　"/>
      <w:lvlJc w:val="left"/>
      <w:pPr>
        <w:ind w:left="397" w:firstLine="0"/>
      </w:pPr>
    </w:lvl>
    <w:lvl w:ilvl="3" w:tentative="0">
      <w:start w:val="1"/>
      <w:numFmt w:val="decimal"/>
      <w:suff w:val="nothing"/>
      <w:lvlText w:val="%1.%2.%3.%4　"/>
      <w:lvlJc w:val="left"/>
      <w:pPr>
        <w:ind w:left="397" w:firstLine="0"/>
      </w:pPr>
    </w:lvl>
    <w:lvl w:ilvl="4" w:tentative="0">
      <w:start w:val="1"/>
      <w:numFmt w:val="decimal"/>
      <w:suff w:val="nothing"/>
      <w:lvlText w:val="%1.%2.%3.%4.%5　"/>
      <w:lvlJc w:val="left"/>
      <w:pPr>
        <w:ind w:left="397" w:firstLine="0"/>
      </w:pPr>
    </w:lvl>
    <w:lvl w:ilvl="5" w:tentative="0">
      <w:start w:val="1"/>
      <w:numFmt w:val="decimal"/>
      <w:suff w:val="nothing"/>
      <w:lvlText w:val="%1.%2.%3.%4.%5.%6　"/>
      <w:lvlJc w:val="left"/>
      <w:pPr>
        <w:ind w:left="397" w:firstLine="0"/>
      </w:pPr>
    </w:lvl>
    <w:lvl w:ilvl="6" w:tentative="0">
      <w:start w:val="1"/>
      <w:numFmt w:val="decimal"/>
      <w:suff w:val="nothing"/>
      <w:lvlText w:val="%1.%2.%3.%4.%5.%6.%7　"/>
      <w:lvlJc w:val="left"/>
      <w:pPr>
        <w:ind w:left="397" w:firstLine="0"/>
      </w:pPr>
    </w:lvl>
    <w:lvl w:ilvl="7" w:tentative="0">
      <w:start w:val="1"/>
      <w:numFmt w:val="decimal"/>
      <w:lvlText w:val="%1.%2.%3.%4.%5.%6.%7.%8"/>
      <w:lvlJc w:val="left"/>
      <w:pPr>
        <w:tabs>
          <w:tab w:val="left" w:pos="4791"/>
        </w:tabs>
        <w:ind w:left="4791" w:hanging="1418"/>
      </w:pPr>
    </w:lvl>
    <w:lvl w:ilvl="8" w:tentative="0">
      <w:start w:val="1"/>
      <w:numFmt w:val="decimal"/>
      <w:lvlText w:val="%1.%2.%3.%4.%5.%6.%7.%8.%9"/>
      <w:lvlJc w:val="left"/>
      <w:pPr>
        <w:tabs>
          <w:tab w:val="left" w:pos="5499"/>
        </w:tabs>
        <w:ind w:left="5499" w:hanging="1700"/>
      </w:pPr>
    </w:lvl>
  </w:abstractNum>
  <w:abstractNum w:abstractNumId="10">
    <w:nsid w:val="2C5917C3"/>
    <w:multiLevelType w:val="multilevel"/>
    <w:tmpl w:val="2C5917C3"/>
    <w:lvl w:ilvl="0" w:tentative="0">
      <w:start w:val="1"/>
      <w:numFmt w:val="none"/>
      <w:pStyle w:val="138"/>
      <w:lvlText w:val="%1——"/>
      <w:lvlJc w:val="left"/>
      <w:pPr>
        <w:tabs>
          <w:tab w:val="left" w:pos="851"/>
        </w:tabs>
        <w:ind w:left="851" w:hanging="426"/>
      </w:pPr>
      <w:rPr>
        <w:rFonts w:hint="eastAsia" w:ascii="宋体" w:hAnsi="Times New Roman" w:eastAsia="宋体"/>
        <w:b w:val="0"/>
        <w:i w:val="0"/>
        <w:sz w:val="21"/>
      </w:rPr>
    </w:lvl>
    <w:lvl w:ilvl="1" w:tentative="0">
      <w:start w:val="1"/>
      <w:numFmt w:val="none"/>
      <w:pStyle w:val="192"/>
      <w:lvlText w:val=""/>
      <w:lvlJc w:val="left"/>
      <w:pPr>
        <w:ind w:left="851" w:hanging="431"/>
      </w:pPr>
      <w:rPr>
        <w:rFonts w:hint="default" w:ascii="Symbol" w:hAnsi="Symbol"/>
        <w:sz w:val="21"/>
      </w:rPr>
    </w:lvl>
    <w:lvl w:ilvl="2" w:tentative="0">
      <w:start w:val="1"/>
      <w:numFmt w:val="bullet"/>
      <w:pStyle w:val="177"/>
      <w:lvlText w:val=""/>
      <w:lvlJc w:val="left"/>
      <w:pPr>
        <w:ind w:left="851" w:hanging="426"/>
      </w:pPr>
      <w:rPr>
        <w:rFonts w:hint="default" w:ascii="Wingdings" w:hAnsi="Wingdings"/>
        <w:sz w:val="21"/>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11">
    <w:nsid w:val="32F04FB2"/>
    <w:multiLevelType w:val="multilevel"/>
    <w:tmpl w:val="32F04FB2"/>
    <w:lvl w:ilvl="0" w:tentative="0">
      <w:start w:val="1"/>
      <w:numFmt w:val="lowerLetter"/>
      <w:pStyle w:val="110"/>
      <w:lvlText w:val="%1"/>
      <w:lvlJc w:val="left"/>
      <w:pPr>
        <w:tabs>
          <w:tab w:val="left" w:pos="539"/>
        </w:tabs>
        <w:ind w:left="539" w:hanging="119"/>
      </w:pPr>
      <w:rPr>
        <w:rFonts w:hint="eastAsia"/>
        <w:caps w:val="0"/>
        <w:strike w:val="0"/>
        <w:dstrike w:val="0"/>
        <w:vanish w:val="0"/>
        <w:vertAlign w:val="superscript"/>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12">
    <w:nsid w:val="34C692F8"/>
    <w:multiLevelType w:val="multilevel"/>
    <w:tmpl w:val="34C692F8"/>
    <w:lvl w:ilvl="0" w:tentative="0">
      <w:start w:val="1"/>
      <w:numFmt w:val="lowerLetter"/>
      <w:pStyle w:val="179"/>
      <w:lvlText w:val="%1)"/>
      <w:lvlJc w:val="left"/>
      <w:pPr>
        <w:tabs>
          <w:tab w:val="left" w:pos="851"/>
        </w:tabs>
        <w:ind w:left="851" w:hanging="426"/>
      </w:pPr>
      <w:rPr>
        <w:rFonts w:hint="eastAsia" w:ascii="宋体" w:hAnsi="Times New Roman" w:eastAsia="宋体"/>
        <w:sz w:val="21"/>
      </w:rPr>
    </w:lvl>
    <w:lvl w:ilvl="1" w:tentative="0">
      <w:start w:val="1"/>
      <w:numFmt w:val="decimal"/>
      <w:pStyle w:val="115"/>
      <w:lvlText w:val="%2)"/>
      <w:lvlJc w:val="left"/>
      <w:pPr>
        <w:tabs>
          <w:tab w:val="left" w:pos="1276"/>
        </w:tabs>
        <w:ind w:left="1276" w:hanging="425"/>
      </w:pPr>
      <w:rPr>
        <w:rFonts w:hint="eastAsia" w:ascii="宋体" w:hAnsi="Times New Roman" w:eastAsia="宋体"/>
        <w:sz w:val="21"/>
      </w:rPr>
    </w:lvl>
    <w:lvl w:ilvl="2" w:tentative="0">
      <w:start w:val="1"/>
      <w:numFmt w:val="decimal"/>
      <w:pStyle w:val="123"/>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3">
    <w:nsid w:val="48802D1C"/>
    <w:multiLevelType w:val="multilevel"/>
    <w:tmpl w:val="48802D1C"/>
    <w:lvl w:ilvl="0" w:tentative="0">
      <w:start w:val="1"/>
      <w:numFmt w:val="upperLetter"/>
      <w:pStyle w:val="203"/>
      <w:lvlText w:val="%1"/>
      <w:lvlJc w:val="left"/>
      <w:pPr>
        <w:ind w:left="420" w:hanging="420"/>
      </w:pPr>
      <w:rPr>
        <w:rFonts w:hint="eastAsia"/>
      </w:rPr>
    </w:lvl>
    <w:lvl w:ilvl="1" w:tentative="0">
      <w:start w:val="1"/>
      <w:numFmt w:val="decimal"/>
      <w:pStyle w:val="94"/>
      <w:suff w:val="space"/>
      <w:lvlText w:val="图%1.%2 "/>
      <w:lvlJc w:val="center"/>
      <w:pPr>
        <w:ind w:left="0" w:firstLine="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4">
    <w:nsid w:val="4B733A5F"/>
    <w:multiLevelType w:val="multilevel"/>
    <w:tmpl w:val="4B733A5F"/>
    <w:lvl w:ilvl="0" w:tentative="0">
      <w:start w:val="1"/>
      <w:numFmt w:val="decimal"/>
      <w:pStyle w:val="188"/>
      <w:suff w:val="nothing"/>
      <w:lvlText w:val="示例%1："/>
      <w:lvlJc w:val="left"/>
      <w:pPr>
        <w:ind w:left="0" w:firstLine="363"/>
      </w:pPr>
      <w:rPr>
        <w:rFonts w:hint="eastAsia" w:ascii="黑体" w:eastAsia="黑体"/>
        <w:b w:val="0"/>
        <w:i w:val="0"/>
        <w:sz w:val="18"/>
      </w:rPr>
    </w:lvl>
    <w:lvl w:ilvl="1" w:tentative="0">
      <w:start w:val="1"/>
      <w:numFmt w:val="none"/>
      <w:suff w:val="space"/>
      <w:lvlText w:val=""/>
      <w:lvlJc w:val="left"/>
      <w:pPr>
        <w:ind w:left="0" w:firstLine="0"/>
      </w:pPr>
      <w:rPr>
        <w:rFonts w:hint="eastAsia"/>
      </w:rPr>
    </w:lvl>
    <w:lvl w:ilvl="2" w:tentative="0">
      <w:start w:val="1"/>
      <w:numFmt w:val="decimal"/>
      <w:suff w:val="space"/>
      <w:lvlText w:val="2.2.%3"/>
      <w:lvlJc w:val="left"/>
      <w:pPr>
        <w:ind w:left="0" w:firstLine="0"/>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15">
    <w:nsid w:val="4E5D0534"/>
    <w:multiLevelType w:val="multilevel"/>
    <w:tmpl w:val="4E5D0534"/>
    <w:lvl w:ilvl="0" w:tentative="0">
      <w:start w:val="1"/>
      <w:numFmt w:val="decimal"/>
      <w:pStyle w:val="122"/>
      <w:suff w:val="nothing"/>
      <w:lvlText w:val="Figur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16">
    <w:nsid w:val="54632751"/>
    <w:multiLevelType w:val="multilevel"/>
    <w:tmpl w:val="54632751"/>
    <w:lvl w:ilvl="0" w:tentative="0">
      <w:start w:val="1"/>
      <w:numFmt w:val="none"/>
      <w:pStyle w:val="104"/>
      <w:suff w:val="nothing"/>
      <w:lvlText w:val="——"/>
      <w:lvlJc w:val="left"/>
      <w:pPr>
        <w:ind w:left="1588" w:firstLine="0"/>
      </w:pPr>
    </w:lvl>
    <w:lvl w:ilvl="1" w:tentative="0">
      <w:start w:val="1"/>
      <w:numFmt w:val="decimal"/>
      <w:suff w:val="nothing"/>
      <w:lvlText w:val="%1.%2　"/>
      <w:lvlJc w:val="left"/>
      <w:pPr>
        <w:ind w:left="1588" w:firstLine="0"/>
      </w:pPr>
    </w:lvl>
    <w:lvl w:ilvl="2" w:tentative="0">
      <w:start w:val="1"/>
      <w:numFmt w:val="decimal"/>
      <w:suff w:val="nothing"/>
      <w:lvlText w:val="%1.%2.%3　"/>
      <w:lvlJc w:val="left"/>
      <w:pPr>
        <w:ind w:left="1588" w:firstLine="0"/>
      </w:pPr>
    </w:lvl>
    <w:lvl w:ilvl="3" w:tentative="0">
      <w:start w:val="1"/>
      <w:numFmt w:val="decimal"/>
      <w:suff w:val="nothing"/>
      <w:lvlText w:val="%1.%2.%3.%4　"/>
      <w:lvlJc w:val="left"/>
      <w:pPr>
        <w:ind w:left="1588" w:firstLine="0"/>
      </w:pPr>
    </w:lvl>
    <w:lvl w:ilvl="4" w:tentative="0">
      <w:start w:val="1"/>
      <w:numFmt w:val="decimal"/>
      <w:suff w:val="nothing"/>
      <w:lvlText w:val="%1.%2.%3.%4.%5　"/>
      <w:lvlJc w:val="left"/>
      <w:pPr>
        <w:ind w:left="1588" w:firstLine="0"/>
      </w:pPr>
    </w:lvl>
    <w:lvl w:ilvl="5" w:tentative="0">
      <w:start w:val="1"/>
      <w:numFmt w:val="decimal"/>
      <w:suff w:val="nothing"/>
      <w:lvlText w:val="%1.%2.%3.%4.%5.%6　"/>
      <w:lvlJc w:val="left"/>
      <w:pPr>
        <w:ind w:left="1588" w:firstLine="0"/>
      </w:pPr>
    </w:lvl>
    <w:lvl w:ilvl="6" w:tentative="0">
      <w:start w:val="1"/>
      <w:numFmt w:val="decimal"/>
      <w:suff w:val="nothing"/>
      <w:lvlText w:val="%1.%2.%3.%4.%5.%6.%7　"/>
      <w:lvlJc w:val="left"/>
      <w:pPr>
        <w:ind w:left="1588" w:firstLine="0"/>
      </w:pPr>
    </w:lvl>
    <w:lvl w:ilvl="7" w:tentative="0">
      <w:start w:val="1"/>
      <w:numFmt w:val="decimal"/>
      <w:lvlText w:val="%1.%2.%3.%4.%5.%6.%7.%8"/>
      <w:lvlJc w:val="left"/>
      <w:pPr>
        <w:tabs>
          <w:tab w:val="left" w:pos="5982"/>
        </w:tabs>
        <w:ind w:left="5982" w:hanging="1418"/>
      </w:pPr>
    </w:lvl>
    <w:lvl w:ilvl="8" w:tentative="0">
      <w:start w:val="1"/>
      <w:numFmt w:val="decimal"/>
      <w:lvlText w:val="%1.%2.%3.%4.%5.%6.%7.%8.%9"/>
      <w:lvlJc w:val="left"/>
      <w:pPr>
        <w:tabs>
          <w:tab w:val="left" w:pos="6690"/>
        </w:tabs>
        <w:ind w:left="6690" w:hanging="1700"/>
      </w:pPr>
    </w:lvl>
  </w:abstractNum>
  <w:abstractNum w:abstractNumId="17">
    <w:nsid w:val="557C2AF5"/>
    <w:multiLevelType w:val="multilevel"/>
    <w:tmpl w:val="557C2AF5"/>
    <w:lvl w:ilvl="0" w:tentative="0">
      <w:start w:val="1"/>
      <w:numFmt w:val="decimal"/>
      <w:pStyle w:val="120"/>
      <w:suff w:val="nothing"/>
      <w:lvlText w:val="图%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18">
    <w:nsid w:val="5603797C"/>
    <w:multiLevelType w:val="multilevel"/>
    <w:tmpl w:val="5603797C"/>
    <w:lvl w:ilvl="0" w:tentative="0">
      <w:start w:val="1"/>
      <w:numFmt w:val="upperLetter"/>
      <w:pStyle w:val="204"/>
      <w:suff w:val="space"/>
      <w:lvlText w:val="%1"/>
      <w:lvlJc w:val="left"/>
      <w:pPr>
        <w:ind w:left="425" w:hanging="425"/>
      </w:pPr>
      <w:rPr>
        <w:rFonts w:hint="eastAsia"/>
      </w:rPr>
    </w:lvl>
    <w:lvl w:ilvl="1" w:tentative="0">
      <w:start w:val="1"/>
      <w:numFmt w:val="decimal"/>
      <w:pStyle w:val="88"/>
      <w:suff w:val="space"/>
      <w:lvlText w:val="表%1.%2 "/>
      <w:lvlJc w:val="center"/>
      <w:pPr>
        <w:ind w:left="0" w:firstLine="0"/>
      </w:pPr>
      <w:rPr>
        <w:rFonts w:hint="eastAsia" w:ascii="黑体" w:eastAsia="黑体"/>
        <w:sz w:val="21"/>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9">
    <w:nsid w:val="564D2089"/>
    <w:multiLevelType w:val="multilevel"/>
    <w:tmpl w:val="564D2089"/>
    <w:lvl w:ilvl="0" w:tentative="0">
      <w:start w:val="1"/>
      <w:numFmt w:val="none"/>
      <w:pStyle w:val="117"/>
      <w:lvlText w:val="%1注"/>
      <w:lvlJc w:val="left"/>
      <w:pPr>
        <w:tabs>
          <w:tab w:val="left" w:pos="760"/>
        </w:tabs>
        <w:ind w:left="760" w:hanging="284"/>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0">
    <w:nsid w:val="644622F9"/>
    <w:multiLevelType w:val="multilevel"/>
    <w:tmpl w:val="644622F9"/>
    <w:lvl w:ilvl="0" w:tentative="0">
      <w:start w:val="1"/>
      <w:numFmt w:val="upperRoman"/>
      <w:pStyle w:val="173"/>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310"/>
        </w:tabs>
        <w:ind w:left="1310" w:hanging="420"/>
      </w:pPr>
      <w:rPr>
        <w:rFonts w:hint="eastAsia"/>
      </w:rPr>
    </w:lvl>
    <w:lvl w:ilvl="2" w:tentative="0">
      <w:start w:val="1"/>
      <w:numFmt w:val="lowerRoman"/>
      <w:lvlText w:val="%3."/>
      <w:lvlJc w:val="right"/>
      <w:pPr>
        <w:tabs>
          <w:tab w:val="left" w:pos="1730"/>
        </w:tabs>
        <w:ind w:left="1730" w:hanging="420"/>
      </w:pPr>
      <w:rPr>
        <w:rFonts w:hint="eastAsia"/>
      </w:rPr>
    </w:lvl>
    <w:lvl w:ilvl="3" w:tentative="0">
      <w:start w:val="1"/>
      <w:numFmt w:val="decimal"/>
      <w:lvlText w:val="%4."/>
      <w:lvlJc w:val="left"/>
      <w:pPr>
        <w:tabs>
          <w:tab w:val="left" w:pos="2150"/>
        </w:tabs>
        <w:ind w:left="2150" w:hanging="420"/>
      </w:pPr>
      <w:rPr>
        <w:rFonts w:hint="eastAsia"/>
      </w:rPr>
    </w:lvl>
    <w:lvl w:ilvl="4" w:tentative="0">
      <w:start w:val="1"/>
      <w:numFmt w:val="lowerLetter"/>
      <w:lvlText w:val="%5)"/>
      <w:lvlJc w:val="left"/>
      <w:pPr>
        <w:tabs>
          <w:tab w:val="left" w:pos="2570"/>
        </w:tabs>
        <w:ind w:left="2570" w:hanging="420"/>
      </w:pPr>
      <w:rPr>
        <w:rFonts w:hint="eastAsia"/>
      </w:rPr>
    </w:lvl>
    <w:lvl w:ilvl="5" w:tentative="0">
      <w:start w:val="1"/>
      <w:numFmt w:val="lowerRoman"/>
      <w:lvlText w:val="%6."/>
      <w:lvlJc w:val="right"/>
      <w:pPr>
        <w:tabs>
          <w:tab w:val="left" w:pos="2990"/>
        </w:tabs>
        <w:ind w:left="2990" w:hanging="420"/>
      </w:pPr>
      <w:rPr>
        <w:rFonts w:hint="eastAsia"/>
      </w:rPr>
    </w:lvl>
    <w:lvl w:ilvl="6" w:tentative="0">
      <w:start w:val="1"/>
      <w:numFmt w:val="decimal"/>
      <w:lvlText w:val="%7."/>
      <w:lvlJc w:val="left"/>
      <w:pPr>
        <w:tabs>
          <w:tab w:val="left" w:pos="3410"/>
        </w:tabs>
        <w:ind w:left="3410" w:hanging="420"/>
      </w:pPr>
      <w:rPr>
        <w:rFonts w:hint="eastAsia"/>
      </w:rPr>
    </w:lvl>
    <w:lvl w:ilvl="7" w:tentative="0">
      <w:start w:val="1"/>
      <w:numFmt w:val="lowerLetter"/>
      <w:lvlText w:val="%8)"/>
      <w:lvlJc w:val="left"/>
      <w:pPr>
        <w:tabs>
          <w:tab w:val="left" w:pos="3830"/>
        </w:tabs>
        <w:ind w:left="3830" w:hanging="420"/>
      </w:pPr>
      <w:rPr>
        <w:rFonts w:hint="eastAsia"/>
      </w:rPr>
    </w:lvl>
    <w:lvl w:ilvl="8" w:tentative="0">
      <w:start w:val="1"/>
      <w:numFmt w:val="lowerRoman"/>
      <w:lvlText w:val="%9."/>
      <w:lvlJc w:val="right"/>
      <w:pPr>
        <w:tabs>
          <w:tab w:val="left" w:pos="4250"/>
        </w:tabs>
        <w:ind w:left="4250" w:hanging="420"/>
      </w:pPr>
      <w:rPr>
        <w:rFonts w:hint="eastAsia"/>
      </w:rPr>
    </w:lvl>
  </w:abstractNum>
  <w:abstractNum w:abstractNumId="21">
    <w:nsid w:val="646260FA"/>
    <w:multiLevelType w:val="multilevel"/>
    <w:tmpl w:val="646260FA"/>
    <w:lvl w:ilvl="0" w:tentative="0">
      <w:start w:val="1"/>
      <w:numFmt w:val="decimal"/>
      <w:pStyle w:val="118"/>
      <w:suff w:val="nothing"/>
      <w:lvlText w:val="表%1　"/>
      <w:lvlJc w:val="left"/>
      <w:pPr>
        <w:ind w:left="0" w:firstLine="0"/>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417"/>
        </w:tabs>
        <w:ind w:left="1417" w:hanging="567"/>
      </w:pPr>
    </w:lvl>
    <w:lvl w:ilvl="3" w:tentative="0">
      <w:start w:val="1"/>
      <w:numFmt w:val="decimal"/>
      <w:lvlText w:val="%1.%2.%3.%4"/>
      <w:lvlJc w:val="left"/>
      <w:pPr>
        <w:tabs>
          <w:tab w:val="left" w:pos="1984"/>
        </w:tabs>
        <w:ind w:left="1984" w:hanging="708"/>
      </w:pPr>
    </w:lvl>
    <w:lvl w:ilvl="4" w:tentative="0">
      <w:start w:val="1"/>
      <w:numFmt w:val="decimal"/>
      <w:lvlText w:val="%1.%2.%3.%4.%5"/>
      <w:lvlJc w:val="left"/>
      <w:pPr>
        <w:tabs>
          <w:tab w:val="left" w:pos="2551"/>
        </w:tabs>
        <w:ind w:left="2551" w:hanging="850"/>
      </w:pPr>
    </w:lvl>
    <w:lvl w:ilvl="5" w:tentative="0">
      <w:start w:val="1"/>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22">
    <w:nsid w:val="654A26C9"/>
    <w:multiLevelType w:val="multilevel"/>
    <w:tmpl w:val="654A26C9"/>
    <w:lvl w:ilvl="0" w:tentative="0">
      <w:start w:val="1"/>
      <w:numFmt w:val="none"/>
      <w:pStyle w:val="194"/>
      <w:lvlText w:val="──"/>
      <w:lvlJc w:val="left"/>
      <w:pPr>
        <w:ind w:left="851" w:firstLine="0"/>
      </w:pPr>
      <w:rPr>
        <w:rFonts w:hint="eastAsia" w:ascii="宋体" w:eastAsia="宋体" w:hAnsiTheme="majorHAnsi"/>
        <w:b w:val="0"/>
        <w:i w:val="0"/>
        <w:sz w:val="21"/>
      </w:rPr>
    </w:lvl>
    <w:lvl w:ilvl="1" w:tentative="0">
      <w:start w:val="1"/>
      <w:numFmt w:val="bullet"/>
      <w:lvlText w:val=""/>
      <w:lvlJc w:val="left"/>
      <w:pPr>
        <w:ind w:left="1276" w:hanging="425"/>
      </w:pPr>
      <w:rPr>
        <w:rFonts w:hint="default" w:ascii="Wingdings" w:hAnsi="Wingdings"/>
      </w:rPr>
    </w:lvl>
    <w:lvl w:ilvl="2" w:tentative="0">
      <w:start w:val="1"/>
      <w:numFmt w:val="bullet"/>
      <w:lvlText w:val=""/>
      <w:lvlJc w:val="left"/>
      <w:pPr>
        <w:ind w:left="1276" w:hanging="236"/>
      </w:pPr>
      <w:rPr>
        <w:rFonts w:hint="default" w:ascii="Wingdings" w:hAnsi="Wingdings"/>
      </w:rPr>
    </w:lvl>
    <w:lvl w:ilvl="3" w:tentative="0">
      <w:start w:val="1"/>
      <w:numFmt w:val="bullet"/>
      <w:lvlText w:val=""/>
      <w:lvlJc w:val="left"/>
      <w:pPr>
        <w:ind w:left="1880" w:hanging="420"/>
      </w:pPr>
      <w:rPr>
        <w:rFonts w:hint="default" w:ascii="Wingdings" w:hAnsi="Wingdings"/>
      </w:rPr>
    </w:lvl>
    <w:lvl w:ilvl="4" w:tentative="0">
      <w:start w:val="1"/>
      <w:numFmt w:val="bullet"/>
      <w:lvlText w:val=""/>
      <w:lvlJc w:val="left"/>
      <w:pPr>
        <w:ind w:left="2300" w:hanging="420"/>
      </w:pPr>
      <w:rPr>
        <w:rFonts w:hint="default" w:ascii="Wingdings" w:hAnsi="Wingdings"/>
      </w:rPr>
    </w:lvl>
    <w:lvl w:ilvl="5" w:tentative="0">
      <w:start w:val="1"/>
      <w:numFmt w:val="bullet"/>
      <w:lvlText w:val=""/>
      <w:lvlJc w:val="left"/>
      <w:pPr>
        <w:ind w:left="2720" w:hanging="420"/>
      </w:pPr>
      <w:rPr>
        <w:rFonts w:hint="default" w:ascii="Wingdings" w:hAnsi="Wingdings"/>
      </w:rPr>
    </w:lvl>
    <w:lvl w:ilvl="6" w:tentative="0">
      <w:start w:val="1"/>
      <w:numFmt w:val="bullet"/>
      <w:lvlText w:val=""/>
      <w:lvlJc w:val="left"/>
      <w:pPr>
        <w:ind w:left="3140" w:hanging="420"/>
      </w:pPr>
      <w:rPr>
        <w:rFonts w:hint="default" w:ascii="Wingdings" w:hAnsi="Wingdings"/>
      </w:rPr>
    </w:lvl>
    <w:lvl w:ilvl="7" w:tentative="0">
      <w:start w:val="1"/>
      <w:numFmt w:val="bullet"/>
      <w:lvlText w:val=""/>
      <w:lvlJc w:val="left"/>
      <w:pPr>
        <w:ind w:left="3560" w:hanging="420"/>
      </w:pPr>
      <w:rPr>
        <w:rFonts w:hint="default" w:ascii="Wingdings" w:hAnsi="Wingdings"/>
      </w:rPr>
    </w:lvl>
    <w:lvl w:ilvl="8" w:tentative="0">
      <w:start w:val="1"/>
      <w:numFmt w:val="bullet"/>
      <w:lvlText w:val=""/>
      <w:lvlJc w:val="left"/>
      <w:pPr>
        <w:ind w:left="3980" w:hanging="420"/>
      </w:pPr>
      <w:rPr>
        <w:rFonts w:hint="default" w:ascii="Wingdings" w:hAnsi="Wingdings"/>
      </w:rPr>
    </w:lvl>
  </w:abstractNum>
  <w:abstractNum w:abstractNumId="23">
    <w:nsid w:val="657D3FBC"/>
    <w:multiLevelType w:val="multilevel"/>
    <w:tmpl w:val="657D3FBC"/>
    <w:lvl w:ilvl="0" w:tentative="0">
      <w:start w:val="1"/>
      <w:numFmt w:val="upperLetter"/>
      <w:pStyle w:val="87"/>
      <w:suff w:val="nothing"/>
      <w:lvlText w:val="附录%1"/>
      <w:lvlJc w:val="left"/>
      <w:pPr>
        <w:ind w:left="0" w:firstLine="0"/>
      </w:pPr>
      <w:rPr>
        <w:rFonts w:hint="eastAsia"/>
        <w:spacing w:val="100"/>
      </w:rPr>
    </w:lvl>
    <w:lvl w:ilvl="1" w:tentative="0">
      <w:start w:val="1"/>
      <w:numFmt w:val="decimal"/>
      <w:pStyle w:val="89"/>
      <w:suff w:val="nothing"/>
      <w:lvlText w:val="%1.%2　"/>
      <w:lvlJc w:val="left"/>
      <w:pPr>
        <w:ind w:left="0" w:firstLine="0"/>
      </w:pPr>
      <w:rPr>
        <w:rFonts w:hint="eastAsia" w:ascii="黑体" w:eastAsia="黑体"/>
        <w:b w:val="0"/>
        <w:i w:val="0"/>
        <w:sz w:val="21"/>
      </w:rPr>
    </w:lvl>
    <w:lvl w:ilvl="2" w:tentative="0">
      <w:start w:val="1"/>
      <w:numFmt w:val="decimal"/>
      <w:pStyle w:val="90"/>
      <w:suff w:val="nothing"/>
      <w:lvlText w:val="%1.%2.%3　"/>
      <w:lvlJc w:val="left"/>
      <w:pPr>
        <w:ind w:left="0" w:firstLine="0"/>
      </w:pPr>
      <w:rPr>
        <w:rFonts w:hint="eastAsia" w:ascii="黑体" w:eastAsia="黑体"/>
        <w:b w:val="0"/>
        <w:i w:val="0"/>
        <w:sz w:val="21"/>
      </w:rPr>
    </w:lvl>
    <w:lvl w:ilvl="3" w:tentative="0">
      <w:start w:val="1"/>
      <w:numFmt w:val="decimal"/>
      <w:pStyle w:val="92"/>
      <w:suff w:val="nothing"/>
      <w:lvlText w:val="%1.%2.%3.%4　"/>
      <w:lvlJc w:val="left"/>
      <w:pPr>
        <w:ind w:left="0" w:firstLine="0"/>
      </w:pPr>
      <w:rPr>
        <w:rFonts w:hint="eastAsia" w:ascii="黑体" w:eastAsia="黑体"/>
        <w:b w:val="0"/>
        <w:i w:val="0"/>
        <w:sz w:val="21"/>
      </w:rPr>
    </w:lvl>
    <w:lvl w:ilvl="4" w:tentative="0">
      <w:start w:val="1"/>
      <w:numFmt w:val="decimal"/>
      <w:pStyle w:val="93"/>
      <w:suff w:val="nothing"/>
      <w:lvlText w:val="%1.%2.%3.%4.%5　"/>
      <w:lvlJc w:val="left"/>
      <w:pPr>
        <w:ind w:left="0" w:firstLine="0"/>
      </w:pPr>
      <w:rPr>
        <w:rFonts w:hint="eastAsia" w:ascii="黑体" w:eastAsia="黑体"/>
        <w:b w:val="0"/>
        <w:i w:val="0"/>
        <w:sz w:val="21"/>
      </w:rPr>
    </w:lvl>
    <w:lvl w:ilvl="5" w:tentative="0">
      <w:start w:val="1"/>
      <w:numFmt w:val="decimal"/>
      <w:pStyle w:val="95"/>
      <w:suff w:val="nothing"/>
      <w:lvlText w:val="%1.%2.%3.%4.%5.%6　"/>
      <w:lvlJc w:val="left"/>
      <w:pPr>
        <w:ind w:left="0" w:firstLine="0"/>
      </w:pPr>
      <w:rPr>
        <w:rFonts w:hint="eastAsia" w:ascii="黑体" w:eastAsia="黑体"/>
        <w:b w:val="0"/>
        <w:i w:val="0"/>
        <w:sz w:val="21"/>
      </w:rPr>
    </w:lvl>
    <w:lvl w:ilvl="6" w:tentative="0">
      <w:start w:val="1"/>
      <w:numFmt w:val="decimal"/>
      <w:suff w:val="nothing"/>
      <w:lvlText w:val="%1.%2.%3.%4.%5.%6.%7　"/>
      <w:lvlJc w:val="left"/>
      <w:pPr>
        <w:ind w:left="0" w:firstLine="0"/>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4">
    <w:nsid w:val="69506ABF"/>
    <w:multiLevelType w:val="multilevel"/>
    <w:tmpl w:val="69506ABF"/>
    <w:lvl w:ilvl="0" w:tentative="0">
      <w:start w:val="1"/>
      <w:numFmt w:val="bullet"/>
      <w:pStyle w:val="193"/>
      <w:lvlText w:val=""/>
      <w:lvlJc w:val="left"/>
      <w:pPr>
        <w:ind w:left="851" w:firstLine="0"/>
      </w:pPr>
      <w:rPr>
        <w:rFonts w:hint="default" w:ascii="Wingdings" w:hAnsi="Wingdings"/>
        <w:color w:val="auto"/>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25">
    <w:nsid w:val="6CA41985"/>
    <w:multiLevelType w:val="multilevel"/>
    <w:tmpl w:val="6CA41985"/>
    <w:lvl w:ilvl="0" w:tentative="0">
      <w:start w:val="1"/>
      <w:numFmt w:val="decimal"/>
      <w:pStyle w:val="107"/>
      <w:lvlText w:val="%1)"/>
      <w:lvlJc w:val="left"/>
      <w:pPr>
        <w:tabs>
          <w:tab w:val="left" w:pos="823"/>
        </w:tabs>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6">
    <w:nsid w:val="6CE42AC1"/>
    <w:multiLevelType w:val="multilevel"/>
    <w:tmpl w:val="6CE42AC1"/>
    <w:lvl w:ilvl="0" w:tentative="0">
      <w:start w:val="1"/>
      <w:numFmt w:val="lowerLetter"/>
      <w:pStyle w:val="178"/>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6CEA2025"/>
    <w:multiLevelType w:val="multilevel"/>
    <w:tmpl w:val="6CEA2025"/>
    <w:lvl w:ilvl="0" w:tentative="0">
      <w:start w:val="1"/>
      <w:numFmt w:val="none"/>
      <w:pStyle w:val="40"/>
      <w:suff w:val="nothing"/>
      <w:lvlText w:val="%1"/>
      <w:lvlJc w:val="left"/>
      <w:pPr>
        <w:ind w:left="0" w:firstLine="0"/>
      </w:pPr>
      <w:rPr>
        <w:rFonts w:hint="eastAsia"/>
      </w:rPr>
    </w:lvl>
    <w:lvl w:ilvl="1" w:tentative="0">
      <w:start w:val="1"/>
      <w:numFmt w:val="decimal"/>
      <w:pStyle w:val="42"/>
      <w:suff w:val="nothing"/>
      <w:lvlText w:val="%1%2　"/>
      <w:lvlJc w:val="left"/>
      <w:pPr>
        <w:ind w:left="0" w:firstLine="0"/>
      </w:pPr>
      <w:rPr>
        <w:rFonts w:hint="eastAsia" w:ascii="黑体" w:eastAsia="黑体"/>
        <w:b w:val="0"/>
        <w:i w:val="0"/>
        <w:sz w:val="21"/>
      </w:rPr>
    </w:lvl>
    <w:lvl w:ilvl="2" w:tentative="0">
      <w:start w:val="1"/>
      <w:numFmt w:val="decimal"/>
      <w:pStyle w:val="41"/>
      <w:suff w:val="nothing"/>
      <w:lvlText w:val="%1%2.%3　"/>
      <w:lvlJc w:val="left"/>
      <w:pPr>
        <w:ind w:left="0" w:firstLine="0"/>
      </w:pPr>
      <w:rPr>
        <w:rFonts w:hint="eastAsia" w:ascii="黑体" w:hAnsi="Times New Roman" w:eastAsia="黑体" w:cs="Times New Roman"/>
        <w:b w:val="0"/>
        <w:bCs w:val="0"/>
        <w:i w:val="0"/>
        <w:iCs w:val="0"/>
        <w:caps w:val="0"/>
        <w:smallCaps w:val="0"/>
        <w:strike w:val="0"/>
        <w:dstrike w:val="0"/>
        <w:vanish w:val="0"/>
        <w:color w:val="000000"/>
        <w:spacing w:val="0"/>
        <w:kern w:val="0"/>
        <w:position w:val="0"/>
        <w:sz w:val="21"/>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3" w:tentative="0">
      <w:start w:val="1"/>
      <w:numFmt w:val="decimal"/>
      <w:pStyle w:val="43"/>
      <w:suff w:val="nothing"/>
      <w:lvlText w:val="%1%2.%3.%4　"/>
      <w:lvlJc w:val="left"/>
      <w:pPr>
        <w:ind w:left="0" w:firstLine="0"/>
      </w:pPr>
      <w:rPr>
        <w:rFonts w:hint="eastAsia" w:ascii="黑体" w:eastAsia="黑体"/>
        <w:b w:val="0"/>
        <w:i w:val="0"/>
        <w:sz w:val="21"/>
      </w:rPr>
    </w:lvl>
    <w:lvl w:ilvl="4" w:tentative="0">
      <w:start w:val="1"/>
      <w:numFmt w:val="decimal"/>
      <w:pStyle w:val="44"/>
      <w:suff w:val="nothing"/>
      <w:lvlText w:val="%1%2.%3.%4.%5　"/>
      <w:lvlJc w:val="left"/>
      <w:pPr>
        <w:ind w:left="0" w:firstLine="0"/>
      </w:pPr>
      <w:rPr>
        <w:rFonts w:hint="eastAsia" w:ascii="黑体" w:eastAsia="黑体"/>
        <w:b w:val="0"/>
        <w:i w:val="0"/>
        <w:sz w:val="21"/>
      </w:rPr>
    </w:lvl>
    <w:lvl w:ilvl="5" w:tentative="0">
      <w:start w:val="1"/>
      <w:numFmt w:val="decimal"/>
      <w:pStyle w:val="45"/>
      <w:suff w:val="nothing"/>
      <w:lvlText w:val="%1%2.%3.%4.%5.%6　"/>
      <w:lvlJc w:val="left"/>
      <w:pPr>
        <w:ind w:left="0" w:firstLine="0"/>
      </w:pPr>
      <w:rPr>
        <w:rFonts w:hint="eastAsia" w:ascii="黑体" w:eastAsia="黑体"/>
        <w:b w:val="0"/>
        <w:i w:val="0"/>
        <w:sz w:val="21"/>
      </w:rPr>
    </w:lvl>
    <w:lvl w:ilvl="6" w:tentative="0">
      <w:start w:val="1"/>
      <w:numFmt w:val="decimal"/>
      <w:pStyle w:val="46"/>
      <w:suff w:val="nothing"/>
      <w:lvlText w:val="%1%2.%3.%4.%5.%6.%7　"/>
      <w:lvlJc w:val="left"/>
      <w:pPr>
        <w:ind w:left="0" w:firstLine="0"/>
      </w:pPr>
      <w:rPr>
        <w:rFonts w:hint="eastAsia" w:ascii="黑体"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28">
    <w:nsid w:val="6DBF04F4"/>
    <w:multiLevelType w:val="multilevel"/>
    <w:tmpl w:val="6DBF04F4"/>
    <w:lvl w:ilvl="0" w:tentative="0">
      <w:start w:val="1"/>
      <w:numFmt w:val="none"/>
      <w:pStyle w:val="184"/>
      <w:lvlText w:val="%1注："/>
      <w:lvlJc w:val="left"/>
      <w:pPr>
        <w:ind w:left="737" w:hanging="374"/>
      </w:pPr>
      <w:rPr>
        <w:rFonts w:hint="eastAsia" w:ascii="黑体"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abstractNum w:abstractNumId="29">
    <w:nsid w:val="6DF35F19"/>
    <w:multiLevelType w:val="multilevel"/>
    <w:tmpl w:val="6DF35F19"/>
    <w:lvl w:ilvl="0" w:tentative="0">
      <w:start w:val="1"/>
      <w:numFmt w:val="decimal"/>
      <w:pStyle w:val="121"/>
      <w:suff w:val="nothing"/>
      <w:lvlText w:val="Tabl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30">
    <w:nsid w:val="76933334"/>
    <w:multiLevelType w:val="multilevel"/>
    <w:tmpl w:val="76933334"/>
    <w:lvl w:ilvl="0" w:tentative="0">
      <w:start w:val="1"/>
      <w:numFmt w:val="none"/>
      <w:pStyle w:val="145"/>
      <w:lvlText w:val="%1——"/>
      <w:lvlJc w:val="left"/>
      <w:pPr>
        <w:tabs>
          <w:tab w:val="left" w:pos="330"/>
        </w:tabs>
        <w:ind w:left="948"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1">
    <w:nsid w:val="7A65FC70"/>
    <w:multiLevelType w:val="singleLevel"/>
    <w:tmpl w:val="7A65FC70"/>
    <w:lvl w:ilvl="0" w:tentative="0">
      <w:start w:val="1"/>
      <w:numFmt w:val="decimal"/>
      <w:suff w:val="space"/>
      <w:lvlText w:val="[%1]"/>
      <w:lvlJc w:val="left"/>
    </w:lvl>
  </w:abstractNum>
  <w:num w:numId="1">
    <w:abstractNumId w:val="3"/>
  </w:num>
  <w:num w:numId="2">
    <w:abstractNumId w:val="27"/>
  </w:num>
  <w:num w:numId="3">
    <w:abstractNumId w:val="0"/>
  </w:num>
  <w:num w:numId="4">
    <w:abstractNumId w:val="5"/>
  </w:num>
  <w:num w:numId="5">
    <w:abstractNumId w:val="23"/>
  </w:num>
  <w:num w:numId="6">
    <w:abstractNumId w:val="18"/>
  </w:num>
  <w:num w:numId="7">
    <w:abstractNumId w:val="13"/>
  </w:num>
  <w:num w:numId="8">
    <w:abstractNumId w:val="8"/>
  </w:num>
  <w:num w:numId="9">
    <w:abstractNumId w:val="9"/>
  </w:num>
  <w:num w:numId="10">
    <w:abstractNumId w:val="16"/>
  </w:num>
  <w:num w:numId="11">
    <w:abstractNumId w:val="25"/>
  </w:num>
  <w:num w:numId="12">
    <w:abstractNumId w:val="11"/>
  </w:num>
  <w:num w:numId="13">
    <w:abstractNumId w:val="12"/>
  </w:num>
  <w:num w:numId="14">
    <w:abstractNumId w:val="7"/>
  </w:num>
  <w:num w:numId="15">
    <w:abstractNumId w:val="19"/>
  </w:num>
  <w:num w:numId="16">
    <w:abstractNumId w:val="21"/>
  </w:num>
  <w:num w:numId="17">
    <w:abstractNumId w:val="17"/>
  </w:num>
  <w:num w:numId="18">
    <w:abstractNumId w:val="29"/>
  </w:num>
  <w:num w:numId="19">
    <w:abstractNumId w:val="15"/>
  </w:num>
  <w:num w:numId="20">
    <w:abstractNumId w:val="1"/>
  </w:num>
  <w:num w:numId="21">
    <w:abstractNumId w:val="10"/>
  </w:num>
  <w:num w:numId="22">
    <w:abstractNumId w:val="30"/>
  </w:num>
  <w:num w:numId="23">
    <w:abstractNumId w:val="20"/>
  </w:num>
  <w:num w:numId="24">
    <w:abstractNumId w:val="6"/>
  </w:num>
  <w:num w:numId="25">
    <w:abstractNumId w:val="26"/>
  </w:num>
  <w:num w:numId="26">
    <w:abstractNumId w:val="28"/>
  </w:num>
  <w:num w:numId="27">
    <w:abstractNumId w:val="2"/>
  </w:num>
  <w:num w:numId="28">
    <w:abstractNumId w:val="4"/>
  </w:num>
  <w:num w:numId="29">
    <w:abstractNumId w:val="14"/>
  </w:num>
  <w:num w:numId="30">
    <w:abstractNumId w:val="24"/>
  </w:num>
  <w:num w:numId="31">
    <w:abstractNumId w:val="22"/>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attachedTemplate r:id="rId1"/>
  <w:documentProtection w:edit="forms" w:enforcement="1" w:cryptProviderType="rsaFull" w:cryptAlgorithmClass="hash" w:cryptAlgorithmType="typeAny" w:cryptAlgorithmSid="4" w:cryptSpinCount="0" w:hash="yC42ibmZV6G1oG2ZFVG2++DZibE=" w:salt="jorTShCpA8noyt60VBSnHA=="/>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CC154A0"/>
    <w:rsid w:val="0000040A"/>
    <w:rsid w:val="00000A94"/>
    <w:rsid w:val="00001972"/>
    <w:rsid w:val="00001D9A"/>
    <w:rsid w:val="00002D44"/>
    <w:rsid w:val="00007B3A"/>
    <w:rsid w:val="000107E0"/>
    <w:rsid w:val="00011FDE"/>
    <w:rsid w:val="00012FFD"/>
    <w:rsid w:val="00014162"/>
    <w:rsid w:val="00014340"/>
    <w:rsid w:val="00016A08"/>
    <w:rsid w:val="00016A9C"/>
    <w:rsid w:val="00022184"/>
    <w:rsid w:val="00022762"/>
    <w:rsid w:val="000238E0"/>
    <w:rsid w:val="000249DB"/>
    <w:rsid w:val="0002595E"/>
    <w:rsid w:val="000303C3"/>
    <w:rsid w:val="000331D3"/>
    <w:rsid w:val="000346A5"/>
    <w:rsid w:val="000359C3"/>
    <w:rsid w:val="00035A7D"/>
    <w:rsid w:val="000365ED"/>
    <w:rsid w:val="0004249A"/>
    <w:rsid w:val="00043282"/>
    <w:rsid w:val="00044286"/>
    <w:rsid w:val="00047F28"/>
    <w:rsid w:val="000503AA"/>
    <w:rsid w:val="000506A1"/>
    <w:rsid w:val="000515DD"/>
    <w:rsid w:val="0005265A"/>
    <w:rsid w:val="000539DD"/>
    <w:rsid w:val="00053BD3"/>
    <w:rsid w:val="000556ED"/>
    <w:rsid w:val="00055FE2"/>
    <w:rsid w:val="0005616F"/>
    <w:rsid w:val="00060C2E"/>
    <w:rsid w:val="00061033"/>
    <w:rsid w:val="000619E9"/>
    <w:rsid w:val="000622D4"/>
    <w:rsid w:val="0006357D"/>
    <w:rsid w:val="00067F1E"/>
    <w:rsid w:val="00071CC0"/>
    <w:rsid w:val="00071CFC"/>
    <w:rsid w:val="00073C8C"/>
    <w:rsid w:val="00077B64"/>
    <w:rsid w:val="00080A1C"/>
    <w:rsid w:val="00082317"/>
    <w:rsid w:val="00083D2C"/>
    <w:rsid w:val="00086AA1"/>
    <w:rsid w:val="00087A77"/>
    <w:rsid w:val="00090CA6"/>
    <w:rsid w:val="00092B8A"/>
    <w:rsid w:val="00092FB0"/>
    <w:rsid w:val="000934C5"/>
    <w:rsid w:val="00093D25"/>
    <w:rsid w:val="00093DAB"/>
    <w:rsid w:val="00094D73"/>
    <w:rsid w:val="00096D63"/>
    <w:rsid w:val="000A0B60"/>
    <w:rsid w:val="000A0EB8"/>
    <w:rsid w:val="000A19FC"/>
    <w:rsid w:val="000A296B"/>
    <w:rsid w:val="000A7311"/>
    <w:rsid w:val="000B060F"/>
    <w:rsid w:val="000B1592"/>
    <w:rsid w:val="000B1FF2"/>
    <w:rsid w:val="000B3CDA"/>
    <w:rsid w:val="000B6A0B"/>
    <w:rsid w:val="000C0F6C"/>
    <w:rsid w:val="000C11DB"/>
    <w:rsid w:val="000C1492"/>
    <w:rsid w:val="000C2FBD"/>
    <w:rsid w:val="000C4B41"/>
    <w:rsid w:val="000C57D6"/>
    <w:rsid w:val="000C6362"/>
    <w:rsid w:val="000C7666"/>
    <w:rsid w:val="000D0A9C"/>
    <w:rsid w:val="000D1795"/>
    <w:rsid w:val="000D329A"/>
    <w:rsid w:val="000D4B9C"/>
    <w:rsid w:val="000D4EB6"/>
    <w:rsid w:val="000D753B"/>
    <w:rsid w:val="000E4C9E"/>
    <w:rsid w:val="000E6FD7"/>
    <w:rsid w:val="000E7144"/>
    <w:rsid w:val="000F06E1"/>
    <w:rsid w:val="000F0E3C"/>
    <w:rsid w:val="000F19D5"/>
    <w:rsid w:val="000F4050"/>
    <w:rsid w:val="000F4AEA"/>
    <w:rsid w:val="000F67E9"/>
    <w:rsid w:val="00104926"/>
    <w:rsid w:val="00113B1E"/>
    <w:rsid w:val="0011711C"/>
    <w:rsid w:val="00124E4F"/>
    <w:rsid w:val="001260B7"/>
    <w:rsid w:val="001265CB"/>
    <w:rsid w:val="001321C6"/>
    <w:rsid w:val="001325C4"/>
    <w:rsid w:val="00133010"/>
    <w:rsid w:val="001332FC"/>
    <w:rsid w:val="001338EE"/>
    <w:rsid w:val="00133AAE"/>
    <w:rsid w:val="00135323"/>
    <w:rsid w:val="001356C4"/>
    <w:rsid w:val="00137565"/>
    <w:rsid w:val="00141114"/>
    <w:rsid w:val="00142969"/>
    <w:rsid w:val="001446C2"/>
    <w:rsid w:val="001457E7"/>
    <w:rsid w:val="00145D9D"/>
    <w:rsid w:val="00146388"/>
    <w:rsid w:val="001529E5"/>
    <w:rsid w:val="00152FB3"/>
    <w:rsid w:val="00153C7E"/>
    <w:rsid w:val="00156B25"/>
    <w:rsid w:val="00156E1A"/>
    <w:rsid w:val="00157894"/>
    <w:rsid w:val="00157B55"/>
    <w:rsid w:val="001642FA"/>
    <w:rsid w:val="001649EB"/>
    <w:rsid w:val="00164BAF"/>
    <w:rsid w:val="00164FA8"/>
    <w:rsid w:val="00165065"/>
    <w:rsid w:val="00165434"/>
    <w:rsid w:val="0016580B"/>
    <w:rsid w:val="00165F49"/>
    <w:rsid w:val="00166B88"/>
    <w:rsid w:val="0016770A"/>
    <w:rsid w:val="00170804"/>
    <w:rsid w:val="001708E9"/>
    <w:rsid w:val="0017340B"/>
    <w:rsid w:val="00173FB1"/>
    <w:rsid w:val="00176DFD"/>
    <w:rsid w:val="001852C9"/>
    <w:rsid w:val="00187A0B"/>
    <w:rsid w:val="00190087"/>
    <w:rsid w:val="001913C4"/>
    <w:rsid w:val="0019348F"/>
    <w:rsid w:val="00193A07"/>
    <w:rsid w:val="00194C95"/>
    <w:rsid w:val="00195C34"/>
    <w:rsid w:val="00196EF5"/>
    <w:rsid w:val="001A1A53"/>
    <w:rsid w:val="001A234A"/>
    <w:rsid w:val="001A4CF3"/>
    <w:rsid w:val="001A6696"/>
    <w:rsid w:val="001B06E8"/>
    <w:rsid w:val="001B71D0"/>
    <w:rsid w:val="001B71EE"/>
    <w:rsid w:val="001C04A8"/>
    <w:rsid w:val="001C2C03"/>
    <w:rsid w:val="001C42F7"/>
    <w:rsid w:val="001C49E5"/>
    <w:rsid w:val="001C680C"/>
    <w:rsid w:val="001C7FEA"/>
    <w:rsid w:val="001D0499"/>
    <w:rsid w:val="001D0BBE"/>
    <w:rsid w:val="001D0ED4"/>
    <w:rsid w:val="001D212F"/>
    <w:rsid w:val="001D29D7"/>
    <w:rsid w:val="001D2DE7"/>
    <w:rsid w:val="001D411C"/>
    <w:rsid w:val="001E1B6A"/>
    <w:rsid w:val="001E2484"/>
    <w:rsid w:val="001E3CC4"/>
    <w:rsid w:val="001E4882"/>
    <w:rsid w:val="001E73AB"/>
    <w:rsid w:val="001F06C7"/>
    <w:rsid w:val="001F092D"/>
    <w:rsid w:val="001F143A"/>
    <w:rsid w:val="001F1605"/>
    <w:rsid w:val="001F2508"/>
    <w:rsid w:val="001F4816"/>
    <w:rsid w:val="001F69B4"/>
    <w:rsid w:val="001F77C7"/>
    <w:rsid w:val="00200183"/>
    <w:rsid w:val="00200333"/>
    <w:rsid w:val="0020107D"/>
    <w:rsid w:val="00202AA4"/>
    <w:rsid w:val="002031F7"/>
    <w:rsid w:val="002040E6"/>
    <w:rsid w:val="0020527B"/>
    <w:rsid w:val="00205F2C"/>
    <w:rsid w:val="00210B15"/>
    <w:rsid w:val="002142EA"/>
    <w:rsid w:val="00215ADD"/>
    <w:rsid w:val="002204BB"/>
    <w:rsid w:val="00221B79"/>
    <w:rsid w:val="00221C6B"/>
    <w:rsid w:val="002253A1"/>
    <w:rsid w:val="00225CF8"/>
    <w:rsid w:val="0022794E"/>
    <w:rsid w:val="00233D64"/>
    <w:rsid w:val="0023482A"/>
    <w:rsid w:val="002359CB"/>
    <w:rsid w:val="00243540"/>
    <w:rsid w:val="0024497B"/>
    <w:rsid w:val="0024515B"/>
    <w:rsid w:val="00246021"/>
    <w:rsid w:val="002462C0"/>
    <w:rsid w:val="0024666E"/>
    <w:rsid w:val="00247F52"/>
    <w:rsid w:val="00250B25"/>
    <w:rsid w:val="00250BBE"/>
    <w:rsid w:val="002515C2"/>
    <w:rsid w:val="0025194F"/>
    <w:rsid w:val="0026148A"/>
    <w:rsid w:val="00262696"/>
    <w:rsid w:val="00263D25"/>
    <w:rsid w:val="002643C3"/>
    <w:rsid w:val="00264A0C"/>
    <w:rsid w:val="00266EEB"/>
    <w:rsid w:val="00267EF4"/>
    <w:rsid w:val="00270CB8"/>
    <w:rsid w:val="00272B08"/>
    <w:rsid w:val="00281BB8"/>
    <w:rsid w:val="00281E9E"/>
    <w:rsid w:val="00282405"/>
    <w:rsid w:val="00285170"/>
    <w:rsid w:val="00285361"/>
    <w:rsid w:val="00292D60"/>
    <w:rsid w:val="00293B30"/>
    <w:rsid w:val="00294D34"/>
    <w:rsid w:val="00294E3B"/>
    <w:rsid w:val="00296193"/>
    <w:rsid w:val="00296C66"/>
    <w:rsid w:val="00296EBE"/>
    <w:rsid w:val="002974E3"/>
    <w:rsid w:val="002A084B"/>
    <w:rsid w:val="002A1260"/>
    <w:rsid w:val="002A1589"/>
    <w:rsid w:val="002A1608"/>
    <w:rsid w:val="002A25DC"/>
    <w:rsid w:val="002A3AAB"/>
    <w:rsid w:val="002A4CEA"/>
    <w:rsid w:val="002A5977"/>
    <w:rsid w:val="002A5A13"/>
    <w:rsid w:val="002A757F"/>
    <w:rsid w:val="002A7F44"/>
    <w:rsid w:val="002B0C40"/>
    <w:rsid w:val="002B1966"/>
    <w:rsid w:val="002B4508"/>
    <w:rsid w:val="002B5779"/>
    <w:rsid w:val="002B7332"/>
    <w:rsid w:val="002B7F51"/>
    <w:rsid w:val="002C09E7"/>
    <w:rsid w:val="002C1E06"/>
    <w:rsid w:val="002C3F07"/>
    <w:rsid w:val="002C5278"/>
    <w:rsid w:val="002C7EBB"/>
    <w:rsid w:val="002D06C1"/>
    <w:rsid w:val="002D42B5"/>
    <w:rsid w:val="002D4F1A"/>
    <w:rsid w:val="002D6EC6"/>
    <w:rsid w:val="002D79AC"/>
    <w:rsid w:val="002E039D"/>
    <w:rsid w:val="002E1F6F"/>
    <w:rsid w:val="002E4D5A"/>
    <w:rsid w:val="002E6326"/>
    <w:rsid w:val="002F30E0"/>
    <w:rsid w:val="002F35E4"/>
    <w:rsid w:val="002F3730"/>
    <w:rsid w:val="002F38E1"/>
    <w:rsid w:val="002F7AF6"/>
    <w:rsid w:val="00300E63"/>
    <w:rsid w:val="00302F5F"/>
    <w:rsid w:val="0030441D"/>
    <w:rsid w:val="00306063"/>
    <w:rsid w:val="00313B85"/>
    <w:rsid w:val="00317988"/>
    <w:rsid w:val="003221B4"/>
    <w:rsid w:val="0032258D"/>
    <w:rsid w:val="00322E62"/>
    <w:rsid w:val="00324D13"/>
    <w:rsid w:val="00324EDD"/>
    <w:rsid w:val="003331E4"/>
    <w:rsid w:val="00336C64"/>
    <w:rsid w:val="00337162"/>
    <w:rsid w:val="0034194F"/>
    <w:rsid w:val="00344605"/>
    <w:rsid w:val="003474AA"/>
    <w:rsid w:val="00350D1D"/>
    <w:rsid w:val="00352C83"/>
    <w:rsid w:val="00352F1A"/>
    <w:rsid w:val="0036107C"/>
    <w:rsid w:val="003615D2"/>
    <w:rsid w:val="0036429C"/>
    <w:rsid w:val="00364A53"/>
    <w:rsid w:val="003654CB"/>
    <w:rsid w:val="00365AA9"/>
    <w:rsid w:val="00365F86"/>
    <w:rsid w:val="00365F87"/>
    <w:rsid w:val="00366E89"/>
    <w:rsid w:val="003705F4"/>
    <w:rsid w:val="00370D58"/>
    <w:rsid w:val="00371316"/>
    <w:rsid w:val="00376713"/>
    <w:rsid w:val="00381815"/>
    <w:rsid w:val="003819AF"/>
    <w:rsid w:val="003820E9"/>
    <w:rsid w:val="00382DE7"/>
    <w:rsid w:val="00384FFC"/>
    <w:rsid w:val="003872FC"/>
    <w:rsid w:val="00387ADC"/>
    <w:rsid w:val="00390020"/>
    <w:rsid w:val="003903D6"/>
    <w:rsid w:val="00390EE6"/>
    <w:rsid w:val="0039118F"/>
    <w:rsid w:val="00392AD7"/>
    <w:rsid w:val="003938D9"/>
    <w:rsid w:val="00394376"/>
    <w:rsid w:val="003943FF"/>
    <w:rsid w:val="003974EB"/>
    <w:rsid w:val="00397CC5"/>
    <w:rsid w:val="003A11D1"/>
    <w:rsid w:val="003A1582"/>
    <w:rsid w:val="003A3D9C"/>
    <w:rsid w:val="003A4077"/>
    <w:rsid w:val="003A4AA7"/>
    <w:rsid w:val="003B09AD"/>
    <w:rsid w:val="003B1F18"/>
    <w:rsid w:val="003B5BF0"/>
    <w:rsid w:val="003B60BF"/>
    <w:rsid w:val="003B6BE3"/>
    <w:rsid w:val="003C010C"/>
    <w:rsid w:val="003C0A6C"/>
    <w:rsid w:val="003C14F8"/>
    <w:rsid w:val="003C5A43"/>
    <w:rsid w:val="003D0519"/>
    <w:rsid w:val="003D0FF6"/>
    <w:rsid w:val="003D262C"/>
    <w:rsid w:val="003D6D61"/>
    <w:rsid w:val="003E019F"/>
    <w:rsid w:val="003E091D"/>
    <w:rsid w:val="003E1C53"/>
    <w:rsid w:val="003E2A69"/>
    <w:rsid w:val="003E2D49"/>
    <w:rsid w:val="003E2FD4"/>
    <w:rsid w:val="003E49F6"/>
    <w:rsid w:val="003E660F"/>
    <w:rsid w:val="003F0841"/>
    <w:rsid w:val="003F23D3"/>
    <w:rsid w:val="003F3F08"/>
    <w:rsid w:val="003F49F1"/>
    <w:rsid w:val="003F6272"/>
    <w:rsid w:val="00400E72"/>
    <w:rsid w:val="00401400"/>
    <w:rsid w:val="00404869"/>
    <w:rsid w:val="00405884"/>
    <w:rsid w:val="00407D39"/>
    <w:rsid w:val="0041477A"/>
    <w:rsid w:val="004167A3"/>
    <w:rsid w:val="00432DAA"/>
    <w:rsid w:val="00434305"/>
    <w:rsid w:val="00435DF7"/>
    <w:rsid w:val="0043741A"/>
    <w:rsid w:val="0044083F"/>
    <w:rsid w:val="00441AE7"/>
    <w:rsid w:val="00445574"/>
    <w:rsid w:val="004467FB"/>
    <w:rsid w:val="00452D6B"/>
    <w:rsid w:val="00454484"/>
    <w:rsid w:val="0045517B"/>
    <w:rsid w:val="00463B77"/>
    <w:rsid w:val="00463C7B"/>
    <w:rsid w:val="004644A6"/>
    <w:rsid w:val="004659BD"/>
    <w:rsid w:val="00470775"/>
    <w:rsid w:val="004746B1"/>
    <w:rsid w:val="0047583F"/>
    <w:rsid w:val="00475DE8"/>
    <w:rsid w:val="00481C44"/>
    <w:rsid w:val="00484936"/>
    <w:rsid w:val="00485C89"/>
    <w:rsid w:val="00486BE3"/>
    <w:rsid w:val="004905E4"/>
    <w:rsid w:val="00490A89"/>
    <w:rsid w:val="00490AB4"/>
    <w:rsid w:val="00492F02"/>
    <w:rsid w:val="004939AE"/>
    <w:rsid w:val="004A12DF"/>
    <w:rsid w:val="004A1BA8"/>
    <w:rsid w:val="004A4B57"/>
    <w:rsid w:val="004A63FA"/>
    <w:rsid w:val="004A6A3D"/>
    <w:rsid w:val="004B0272"/>
    <w:rsid w:val="004B2701"/>
    <w:rsid w:val="004B2E1B"/>
    <w:rsid w:val="004B3AA8"/>
    <w:rsid w:val="004B3E93"/>
    <w:rsid w:val="004C1FBC"/>
    <w:rsid w:val="004C25A2"/>
    <w:rsid w:val="004C3F1D"/>
    <w:rsid w:val="004C458D"/>
    <w:rsid w:val="004C7556"/>
    <w:rsid w:val="004C7E8B"/>
    <w:rsid w:val="004C7E9D"/>
    <w:rsid w:val="004C7F67"/>
    <w:rsid w:val="004D076D"/>
    <w:rsid w:val="004D0EF1"/>
    <w:rsid w:val="004D2253"/>
    <w:rsid w:val="004D4406"/>
    <w:rsid w:val="004D4A5D"/>
    <w:rsid w:val="004D7C42"/>
    <w:rsid w:val="004E0465"/>
    <w:rsid w:val="004E127B"/>
    <w:rsid w:val="004E1C0A"/>
    <w:rsid w:val="004E30C5"/>
    <w:rsid w:val="004E4AA5"/>
    <w:rsid w:val="004E4AEE"/>
    <w:rsid w:val="004E59E3"/>
    <w:rsid w:val="004E67C0"/>
    <w:rsid w:val="004F391A"/>
    <w:rsid w:val="004F3CFB"/>
    <w:rsid w:val="004F6456"/>
    <w:rsid w:val="004F696E"/>
    <w:rsid w:val="004F6C71"/>
    <w:rsid w:val="00501139"/>
    <w:rsid w:val="0050363E"/>
    <w:rsid w:val="005039BC"/>
    <w:rsid w:val="005043BB"/>
    <w:rsid w:val="00504A3D"/>
    <w:rsid w:val="00505767"/>
    <w:rsid w:val="005073F0"/>
    <w:rsid w:val="00510A7B"/>
    <w:rsid w:val="00512F6E"/>
    <w:rsid w:val="00513038"/>
    <w:rsid w:val="00514174"/>
    <w:rsid w:val="00516088"/>
    <w:rsid w:val="00516B0B"/>
    <w:rsid w:val="00520293"/>
    <w:rsid w:val="005220EC"/>
    <w:rsid w:val="00523ECF"/>
    <w:rsid w:val="00523F95"/>
    <w:rsid w:val="00524D65"/>
    <w:rsid w:val="00525B16"/>
    <w:rsid w:val="00533D04"/>
    <w:rsid w:val="00534804"/>
    <w:rsid w:val="00534BDF"/>
    <w:rsid w:val="005354EA"/>
    <w:rsid w:val="0053585F"/>
    <w:rsid w:val="00535EC4"/>
    <w:rsid w:val="00535ED9"/>
    <w:rsid w:val="0053692B"/>
    <w:rsid w:val="00541853"/>
    <w:rsid w:val="00543BDA"/>
    <w:rsid w:val="005441CC"/>
    <w:rsid w:val="005471D1"/>
    <w:rsid w:val="005479DA"/>
    <w:rsid w:val="00547BCC"/>
    <w:rsid w:val="0055013B"/>
    <w:rsid w:val="00551F6F"/>
    <w:rsid w:val="00555044"/>
    <w:rsid w:val="00561475"/>
    <w:rsid w:val="00562308"/>
    <w:rsid w:val="0056487B"/>
    <w:rsid w:val="00564FB9"/>
    <w:rsid w:val="00573D9E"/>
    <w:rsid w:val="005801E3"/>
    <w:rsid w:val="00581802"/>
    <w:rsid w:val="005836A8"/>
    <w:rsid w:val="0058409C"/>
    <w:rsid w:val="00584262"/>
    <w:rsid w:val="00586630"/>
    <w:rsid w:val="00587ADD"/>
    <w:rsid w:val="00593A49"/>
    <w:rsid w:val="00596160"/>
    <w:rsid w:val="005966E2"/>
    <w:rsid w:val="00597007"/>
    <w:rsid w:val="005A0966"/>
    <w:rsid w:val="005A11B7"/>
    <w:rsid w:val="005A260B"/>
    <w:rsid w:val="005A4A1B"/>
    <w:rsid w:val="005A7830"/>
    <w:rsid w:val="005A7FCE"/>
    <w:rsid w:val="005B0F3F"/>
    <w:rsid w:val="005B191C"/>
    <w:rsid w:val="005B4903"/>
    <w:rsid w:val="005B51CE"/>
    <w:rsid w:val="005B5885"/>
    <w:rsid w:val="005B5CD7"/>
    <w:rsid w:val="005B6CF6"/>
    <w:rsid w:val="005B7422"/>
    <w:rsid w:val="005C29B8"/>
    <w:rsid w:val="005C5F21"/>
    <w:rsid w:val="005C679B"/>
    <w:rsid w:val="005C7156"/>
    <w:rsid w:val="005D0C75"/>
    <w:rsid w:val="005D4171"/>
    <w:rsid w:val="005D6A95"/>
    <w:rsid w:val="005D6B2C"/>
    <w:rsid w:val="005D6D9C"/>
    <w:rsid w:val="005E2335"/>
    <w:rsid w:val="005E34CA"/>
    <w:rsid w:val="005E3C18"/>
    <w:rsid w:val="005E4250"/>
    <w:rsid w:val="005E6812"/>
    <w:rsid w:val="005E7881"/>
    <w:rsid w:val="005E78E0"/>
    <w:rsid w:val="005F0D9C"/>
    <w:rsid w:val="005F284E"/>
    <w:rsid w:val="006015CE"/>
    <w:rsid w:val="00604784"/>
    <w:rsid w:val="00606419"/>
    <w:rsid w:val="00607D29"/>
    <w:rsid w:val="00612952"/>
    <w:rsid w:val="00614CC1"/>
    <w:rsid w:val="00615A9D"/>
    <w:rsid w:val="00617387"/>
    <w:rsid w:val="006205D6"/>
    <w:rsid w:val="006252D8"/>
    <w:rsid w:val="006259BC"/>
    <w:rsid w:val="0062636B"/>
    <w:rsid w:val="00632182"/>
    <w:rsid w:val="00632AE0"/>
    <w:rsid w:val="00633C17"/>
    <w:rsid w:val="00634D9E"/>
    <w:rsid w:val="00636E3E"/>
    <w:rsid w:val="006379F7"/>
    <w:rsid w:val="00637E4D"/>
    <w:rsid w:val="00640620"/>
    <w:rsid w:val="00641A1F"/>
    <w:rsid w:val="00645904"/>
    <w:rsid w:val="00651ACB"/>
    <w:rsid w:val="00651C47"/>
    <w:rsid w:val="00652254"/>
    <w:rsid w:val="00652AB2"/>
    <w:rsid w:val="00653FED"/>
    <w:rsid w:val="00654EC0"/>
    <w:rsid w:val="0065525B"/>
    <w:rsid w:val="00655D4F"/>
    <w:rsid w:val="00656D29"/>
    <w:rsid w:val="006640E5"/>
    <w:rsid w:val="006646F1"/>
    <w:rsid w:val="00664929"/>
    <w:rsid w:val="00664F62"/>
    <w:rsid w:val="006655E1"/>
    <w:rsid w:val="00672060"/>
    <w:rsid w:val="00672BFD"/>
    <w:rsid w:val="006770F4"/>
    <w:rsid w:val="00677A84"/>
    <w:rsid w:val="0068026D"/>
    <w:rsid w:val="00680A27"/>
    <w:rsid w:val="006816A4"/>
    <w:rsid w:val="006819B8"/>
    <w:rsid w:val="006840A6"/>
    <w:rsid w:val="006850CD"/>
    <w:rsid w:val="00685AAB"/>
    <w:rsid w:val="00693962"/>
    <w:rsid w:val="006A07AA"/>
    <w:rsid w:val="006A25E5"/>
    <w:rsid w:val="006A2B46"/>
    <w:rsid w:val="006A336D"/>
    <w:rsid w:val="006A37B9"/>
    <w:rsid w:val="006A3D27"/>
    <w:rsid w:val="006B2672"/>
    <w:rsid w:val="006B54BF"/>
    <w:rsid w:val="006B5F44"/>
    <w:rsid w:val="006B5F90"/>
    <w:rsid w:val="006B62E4"/>
    <w:rsid w:val="006C1BBA"/>
    <w:rsid w:val="006C2079"/>
    <w:rsid w:val="006C5A62"/>
    <w:rsid w:val="006C5D68"/>
    <w:rsid w:val="006C6976"/>
    <w:rsid w:val="006C6DD0"/>
    <w:rsid w:val="006C71AD"/>
    <w:rsid w:val="006D04EA"/>
    <w:rsid w:val="006D16C4"/>
    <w:rsid w:val="006D3E96"/>
    <w:rsid w:val="006D4515"/>
    <w:rsid w:val="006D4BB1"/>
    <w:rsid w:val="006D6593"/>
    <w:rsid w:val="006E28E0"/>
    <w:rsid w:val="006F03A8"/>
    <w:rsid w:val="006F2ACA"/>
    <w:rsid w:val="006F2ADC"/>
    <w:rsid w:val="006F2BFE"/>
    <w:rsid w:val="006F31E9"/>
    <w:rsid w:val="006F6284"/>
    <w:rsid w:val="007002C5"/>
    <w:rsid w:val="00704387"/>
    <w:rsid w:val="00707669"/>
    <w:rsid w:val="00711CBA"/>
    <w:rsid w:val="00711FB5"/>
    <w:rsid w:val="00712A01"/>
    <w:rsid w:val="00714F58"/>
    <w:rsid w:val="00722FBF"/>
    <w:rsid w:val="00722FC2"/>
    <w:rsid w:val="00724E1B"/>
    <w:rsid w:val="00725949"/>
    <w:rsid w:val="00727FA2"/>
    <w:rsid w:val="007322D9"/>
    <w:rsid w:val="00732BC0"/>
    <w:rsid w:val="0073720F"/>
    <w:rsid w:val="00737796"/>
    <w:rsid w:val="0074165C"/>
    <w:rsid w:val="00742C35"/>
    <w:rsid w:val="007432CA"/>
    <w:rsid w:val="007439EB"/>
    <w:rsid w:val="00743CB4"/>
    <w:rsid w:val="00743F0A"/>
    <w:rsid w:val="007444E8"/>
    <w:rsid w:val="0074548E"/>
    <w:rsid w:val="00745773"/>
    <w:rsid w:val="00746800"/>
    <w:rsid w:val="007501A8"/>
    <w:rsid w:val="00750D61"/>
    <w:rsid w:val="00750EE1"/>
    <w:rsid w:val="00752B4D"/>
    <w:rsid w:val="00755402"/>
    <w:rsid w:val="00756B26"/>
    <w:rsid w:val="00756EDF"/>
    <w:rsid w:val="007600E3"/>
    <w:rsid w:val="00765C43"/>
    <w:rsid w:val="00765EFB"/>
    <w:rsid w:val="007671CA"/>
    <w:rsid w:val="00767C61"/>
    <w:rsid w:val="0077008A"/>
    <w:rsid w:val="00773C1F"/>
    <w:rsid w:val="00774DA4"/>
    <w:rsid w:val="00776599"/>
    <w:rsid w:val="0078114B"/>
    <w:rsid w:val="00781DD2"/>
    <w:rsid w:val="00783ECF"/>
    <w:rsid w:val="0078413A"/>
    <w:rsid w:val="007959E8"/>
    <w:rsid w:val="00795E9C"/>
    <w:rsid w:val="007A0521"/>
    <w:rsid w:val="007A2E12"/>
    <w:rsid w:val="007A3475"/>
    <w:rsid w:val="007A41C8"/>
    <w:rsid w:val="007A54CE"/>
    <w:rsid w:val="007A5D3A"/>
    <w:rsid w:val="007A6FD9"/>
    <w:rsid w:val="007A7FFA"/>
    <w:rsid w:val="007B04EB"/>
    <w:rsid w:val="007B0D4F"/>
    <w:rsid w:val="007B5A3D"/>
    <w:rsid w:val="007B5B95"/>
    <w:rsid w:val="007B6032"/>
    <w:rsid w:val="007B68EA"/>
    <w:rsid w:val="007B7453"/>
    <w:rsid w:val="007C2D89"/>
    <w:rsid w:val="007C4593"/>
    <w:rsid w:val="007C5309"/>
    <w:rsid w:val="007C6069"/>
    <w:rsid w:val="007D06C4"/>
    <w:rsid w:val="007D1352"/>
    <w:rsid w:val="007D2508"/>
    <w:rsid w:val="007D346A"/>
    <w:rsid w:val="007D6518"/>
    <w:rsid w:val="007D76BD"/>
    <w:rsid w:val="007E0BF1"/>
    <w:rsid w:val="007F0ED8"/>
    <w:rsid w:val="007F0F63"/>
    <w:rsid w:val="007F75CE"/>
    <w:rsid w:val="008013A4"/>
    <w:rsid w:val="008027CE"/>
    <w:rsid w:val="00802F42"/>
    <w:rsid w:val="00804383"/>
    <w:rsid w:val="00804BB7"/>
    <w:rsid w:val="00804D41"/>
    <w:rsid w:val="00810257"/>
    <w:rsid w:val="008104F5"/>
    <w:rsid w:val="00811072"/>
    <w:rsid w:val="00811369"/>
    <w:rsid w:val="00815419"/>
    <w:rsid w:val="008163C8"/>
    <w:rsid w:val="008164A1"/>
    <w:rsid w:val="00817325"/>
    <w:rsid w:val="008209E6"/>
    <w:rsid w:val="00821D19"/>
    <w:rsid w:val="00823303"/>
    <w:rsid w:val="008233B2"/>
    <w:rsid w:val="00823A9F"/>
    <w:rsid w:val="00823C85"/>
    <w:rsid w:val="00825138"/>
    <w:rsid w:val="008269DD"/>
    <w:rsid w:val="00830621"/>
    <w:rsid w:val="0083348C"/>
    <w:rsid w:val="008373D3"/>
    <w:rsid w:val="00840617"/>
    <w:rsid w:val="00840EB7"/>
    <w:rsid w:val="00840F84"/>
    <w:rsid w:val="00842A47"/>
    <w:rsid w:val="00843C13"/>
    <w:rsid w:val="00843DEF"/>
    <w:rsid w:val="008454F8"/>
    <w:rsid w:val="0085173A"/>
    <w:rsid w:val="008603CE"/>
    <w:rsid w:val="008620FC"/>
    <w:rsid w:val="008627A5"/>
    <w:rsid w:val="00863E05"/>
    <w:rsid w:val="00865ACA"/>
    <w:rsid w:val="00865D28"/>
    <w:rsid w:val="00865F85"/>
    <w:rsid w:val="00867C10"/>
    <w:rsid w:val="00870439"/>
    <w:rsid w:val="00870DA1"/>
    <w:rsid w:val="00883F93"/>
    <w:rsid w:val="00884DB3"/>
    <w:rsid w:val="00885A9D"/>
    <w:rsid w:val="008864F6"/>
    <w:rsid w:val="0089049D"/>
    <w:rsid w:val="008928C9"/>
    <w:rsid w:val="008930CB"/>
    <w:rsid w:val="008938DC"/>
    <w:rsid w:val="00893FD1"/>
    <w:rsid w:val="00894836"/>
    <w:rsid w:val="00895172"/>
    <w:rsid w:val="00895680"/>
    <w:rsid w:val="00896DFF"/>
    <w:rsid w:val="0089762C"/>
    <w:rsid w:val="008A173B"/>
    <w:rsid w:val="008A1893"/>
    <w:rsid w:val="008A57E6"/>
    <w:rsid w:val="008A6F81"/>
    <w:rsid w:val="008A769A"/>
    <w:rsid w:val="008B0C9C"/>
    <w:rsid w:val="008B166D"/>
    <w:rsid w:val="008B17F4"/>
    <w:rsid w:val="008B3615"/>
    <w:rsid w:val="008B4AC4"/>
    <w:rsid w:val="008B50C8"/>
    <w:rsid w:val="008B5281"/>
    <w:rsid w:val="008B7E05"/>
    <w:rsid w:val="008C1797"/>
    <w:rsid w:val="008C219C"/>
    <w:rsid w:val="008C475E"/>
    <w:rsid w:val="008C619A"/>
    <w:rsid w:val="008D0CE8"/>
    <w:rsid w:val="008D2D1D"/>
    <w:rsid w:val="008D453D"/>
    <w:rsid w:val="008D53AD"/>
    <w:rsid w:val="008D562B"/>
    <w:rsid w:val="008D5733"/>
    <w:rsid w:val="008D622B"/>
    <w:rsid w:val="008D666C"/>
    <w:rsid w:val="008D7B54"/>
    <w:rsid w:val="008E0C9D"/>
    <w:rsid w:val="008E1648"/>
    <w:rsid w:val="008E17EC"/>
    <w:rsid w:val="008E1B3E"/>
    <w:rsid w:val="008E2319"/>
    <w:rsid w:val="008E4BB6"/>
    <w:rsid w:val="008E5518"/>
    <w:rsid w:val="008E6A84"/>
    <w:rsid w:val="008F0CDC"/>
    <w:rsid w:val="008F17A3"/>
    <w:rsid w:val="008F1ED3"/>
    <w:rsid w:val="008F4C29"/>
    <w:rsid w:val="008F70BD"/>
    <w:rsid w:val="008F788F"/>
    <w:rsid w:val="008F7EA2"/>
    <w:rsid w:val="00902722"/>
    <w:rsid w:val="009027BC"/>
    <w:rsid w:val="009062E6"/>
    <w:rsid w:val="00911BE5"/>
    <w:rsid w:val="00913CA9"/>
    <w:rsid w:val="009145AE"/>
    <w:rsid w:val="009146CE"/>
    <w:rsid w:val="00914CA7"/>
    <w:rsid w:val="00915C3E"/>
    <w:rsid w:val="009161A8"/>
    <w:rsid w:val="009245AE"/>
    <w:rsid w:val="009245F5"/>
    <w:rsid w:val="009249EC"/>
    <w:rsid w:val="009273B3"/>
    <w:rsid w:val="009305B5"/>
    <w:rsid w:val="009378DD"/>
    <w:rsid w:val="009429D5"/>
    <w:rsid w:val="00942BF1"/>
    <w:rsid w:val="00945180"/>
    <w:rsid w:val="00945428"/>
    <w:rsid w:val="0094607B"/>
    <w:rsid w:val="00946B88"/>
    <w:rsid w:val="00951FEE"/>
    <w:rsid w:val="00953604"/>
    <w:rsid w:val="0095496B"/>
    <w:rsid w:val="0095609D"/>
    <w:rsid w:val="00960F1E"/>
    <w:rsid w:val="009610DC"/>
    <w:rsid w:val="00961490"/>
    <w:rsid w:val="0096381A"/>
    <w:rsid w:val="00965E04"/>
    <w:rsid w:val="009674AD"/>
    <w:rsid w:val="00970CDC"/>
    <w:rsid w:val="00975727"/>
    <w:rsid w:val="00977010"/>
    <w:rsid w:val="00977D02"/>
    <w:rsid w:val="00977FF9"/>
    <w:rsid w:val="009809BB"/>
    <w:rsid w:val="0098364B"/>
    <w:rsid w:val="009908A3"/>
    <w:rsid w:val="009911AF"/>
    <w:rsid w:val="00991875"/>
    <w:rsid w:val="00991F92"/>
    <w:rsid w:val="00992985"/>
    <w:rsid w:val="00993889"/>
    <w:rsid w:val="0099551B"/>
    <w:rsid w:val="00996BD2"/>
    <w:rsid w:val="00997BF1"/>
    <w:rsid w:val="009A089C"/>
    <w:rsid w:val="009A118E"/>
    <w:rsid w:val="009A21CD"/>
    <w:rsid w:val="009A278C"/>
    <w:rsid w:val="009A2BC2"/>
    <w:rsid w:val="009A42C1"/>
    <w:rsid w:val="009A5429"/>
    <w:rsid w:val="009A72AD"/>
    <w:rsid w:val="009B09E0"/>
    <w:rsid w:val="009B0BC5"/>
    <w:rsid w:val="009B1247"/>
    <w:rsid w:val="009B6029"/>
    <w:rsid w:val="009B6971"/>
    <w:rsid w:val="009C27F1"/>
    <w:rsid w:val="009C3152"/>
    <w:rsid w:val="009C3257"/>
    <w:rsid w:val="009C4CFA"/>
    <w:rsid w:val="009C5070"/>
    <w:rsid w:val="009D112C"/>
    <w:rsid w:val="009D1385"/>
    <w:rsid w:val="009D47FA"/>
    <w:rsid w:val="009D4C5B"/>
    <w:rsid w:val="009D50D2"/>
    <w:rsid w:val="009D6BCA"/>
    <w:rsid w:val="009E0F62"/>
    <w:rsid w:val="009E4A58"/>
    <w:rsid w:val="009E5A2D"/>
    <w:rsid w:val="009E5AB2"/>
    <w:rsid w:val="009E6219"/>
    <w:rsid w:val="009F03B3"/>
    <w:rsid w:val="00A0096C"/>
    <w:rsid w:val="00A01757"/>
    <w:rsid w:val="00A028C0"/>
    <w:rsid w:val="00A02BAE"/>
    <w:rsid w:val="00A06A6B"/>
    <w:rsid w:val="00A07E47"/>
    <w:rsid w:val="00A129D0"/>
    <w:rsid w:val="00A12C33"/>
    <w:rsid w:val="00A138BA"/>
    <w:rsid w:val="00A14C8E"/>
    <w:rsid w:val="00A153D9"/>
    <w:rsid w:val="00A15F09"/>
    <w:rsid w:val="00A169B6"/>
    <w:rsid w:val="00A2271D"/>
    <w:rsid w:val="00A237D5"/>
    <w:rsid w:val="00A30EFC"/>
    <w:rsid w:val="00A31984"/>
    <w:rsid w:val="00A32D73"/>
    <w:rsid w:val="00A3367B"/>
    <w:rsid w:val="00A33C67"/>
    <w:rsid w:val="00A3597D"/>
    <w:rsid w:val="00A36DD1"/>
    <w:rsid w:val="00A4006C"/>
    <w:rsid w:val="00A40091"/>
    <w:rsid w:val="00A4030F"/>
    <w:rsid w:val="00A41C79"/>
    <w:rsid w:val="00A41CB5"/>
    <w:rsid w:val="00A42CDF"/>
    <w:rsid w:val="00A4452E"/>
    <w:rsid w:val="00A4472C"/>
    <w:rsid w:val="00A44E69"/>
    <w:rsid w:val="00A4661E"/>
    <w:rsid w:val="00A55BD6"/>
    <w:rsid w:val="00A55D50"/>
    <w:rsid w:val="00A57142"/>
    <w:rsid w:val="00A648CD"/>
    <w:rsid w:val="00A6537A"/>
    <w:rsid w:val="00A67866"/>
    <w:rsid w:val="00A70B07"/>
    <w:rsid w:val="00A723F8"/>
    <w:rsid w:val="00A77CCB"/>
    <w:rsid w:val="00A83D8D"/>
    <w:rsid w:val="00A8446B"/>
    <w:rsid w:val="00A8473F"/>
    <w:rsid w:val="00A862D6"/>
    <w:rsid w:val="00A8715E"/>
    <w:rsid w:val="00A9295B"/>
    <w:rsid w:val="00A93B09"/>
    <w:rsid w:val="00A952D7"/>
    <w:rsid w:val="00A963F7"/>
    <w:rsid w:val="00A96AD8"/>
    <w:rsid w:val="00AA052C"/>
    <w:rsid w:val="00AA1E45"/>
    <w:rsid w:val="00AA4286"/>
    <w:rsid w:val="00AA456B"/>
    <w:rsid w:val="00AA57F5"/>
    <w:rsid w:val="00AA672E"/>
    <w:rsid w:val="00AA6EC9"/>
    <w:rsid w:val="00AB6309"/>
    <w:rsid w:val="00AB6C5F"/>
    <w:rsid w:val="00AB7129"/>
    <w:rsid w:val="00AC27A6"/>
    <w:rsid w:val="00AC30F7"/>
    <w:rsid w:val="00AC3A5A"/>
    <w:rsid w:val="00AC4D95"/>
    <w:rsid w:val="00AC5DF4"/>
    <w:rsid w:val="00AD0AEF"/>
    <w:rsid w:val="00AD11B7"/>
    <w:rsid w:val="00AD1A94"/>
    <w:rsid w:val="00AD1C05"/>
    <w:rsid w:val="00AD4126"/>
    <w:rsid w:val="00AD421C"/>
    <w:rsid w:val="00AD44FA"/>
    <w:rsid w:val="00AE070A"/>
    <w:rsid w:val="00AE101C"/>
    <w:rsid w:val="00AE2A69"/>
    <w:rsid w:val="00AE37E5"/>
    <w:rsid w:val="00AE5EB4"/>
    <w:rsid w:val="00AF0C18"/>
    <w:rsid w:val="00AF47C5"/>
    <w:rsid w:val="00AF5398"/>
    <w:rsid w:val="00B049AF"/>
    <w:rsid w:val="00B07242"/>
    <w:rsid w:val="00B10534"/>
    <w:rsid w:val="00B113DB"/>
    <w:rsid w:val="00B11D8A"/>
    <w:rsid w:val="00B12981"/>
    <w:rsid w:val="00B147DD"/>
    <w:rsid w:val="00B156FD"/>
    <w:rsid w:val="00B21F61"/>
    <w:rsid w:val="00B261F1"/>
    <w:rsid w:val="00B265BC"/>
    <w:rsid w:val="00B31FB1"/>
    <w:rsid w:val="00B33952"/>
    <w:rsid w:val="00B33C5E"/>
    <w:rsid w:val="00B342F4"/>
    <w:rsid w:val="00B34369"/>
    <w:rsid w:val="00B34DC2"/>
    <w:rsid w:val="00B378E5"/>
    <w:rsid w:val="00B4346D"/>
    <w:rsid w:val="00B440F4"/>
    <w:rsid w:val="00B447A5"/>
    <w:rsid w:val="00B4654C"/>
    <w:rsid w:val="00B47293"/>
    <w:rsid w:val="00B50E50"/>
    <w:rsid w:val="00B52120"/>
    <w:rsid w:val="00B54ABC"/>
    <w:rsid w:val="00B56FBE"/>
    <w:rsid w:val="00B60ACF"/>
    <w:rsid w:val="00B62B58"/>
    <w:rsid w:val="00B65149"/>
    <w:rsid w:val="00B66567"/>
    <w:rsid w:val="00B66F52"/>
    <w:rsid w:val="00B66FE5"/>
    <w:rsid w:val="00B72880"/>
    <w:rsid w:val="00B758BF"/>
    <w:rsid w:val="00B76980"/>
    <w:rsid w:val="00B77EC8"/>
    <w:rsid w:val="00B827A6"/>
    <w:rsid w:val="00B831CE"/>
    <w:rsid w:val="00B86677"/>
    <w:rsid w:val="00B87131"/>
    <w:rsid w:val="00B939B1"/>
    <w:rsid w:val="00B96D40"/>
    <w:rsid w:val="00B97386"/>
    <w:rsid w:val="00BA263B"/>
    <w:rsid w:val="00BA42B2"/>
    <w:rsid w:val="00BA58D4"/>
    <w:rsid w:val="00BA5B9E"/>
    <w:rsid w:val="00BA7C9A"/>
    <w:rsid w:val="00BB5F8F"/>
    <w:rsid w:val="00BB657A"/>
    <w:rsid w:val="00BC1A4E"/>
    <w:rsid w:val="00BC5DC7"/>
    <w:rsid w:val="00BC6B8B"/>
    <w:rsid w:val="00BC73D8"/>
    <w:rsid w:val="00BD52D7"/>
    <w:rsid w:val="00BD5AD2"/>
    <w:rsid w:val="00BE22F3"/>
    <w:rsid w:val="00BE5B52"/>
    <w:rsid w:val="00BE7B8D"/>
    <w:rsid w:val="00BF0993"/>
    <w:rsid w:val="00BF10A9"/>
    <w:rsid w:val="00BF1703"/>
    <w:rsid w:val="00BF231C"/>
    <w:rsid w:val="00BF51E5"/>
    <w:rsid w:val="00BF74A6"/>
    <w:rsid w:val="00C00336"/>
    <w:rsid w:val="00C013AD"/>
    <w:rsid w:val="00C04904"/>
    <w:rsid w:val="00C056B3"/>
    <w:rsid w:val="00C103E5"/>
    <w:rsid w:val="00C13319"/>
    <w:rsid w:val="00C13EE9"/>
    <w:rsid w:val="00C21540"/>
    <w:rsid w:val="00C21906"/>
    <w:rsid w:val="00C21BFA"/>
    <w:rsid w:val="00C227B9"/>
    <w:rsid w:val="00C24C8D"/>
    <w:rsid w:val="00C25FE2"/>
    <w:rsid w:val="00C26B53"/>
    <w:rsid w:val="00C279B2"/>
    <w:rsid w:val="00C33E50"/>
    <w:rsid w:val="00C34C20"/>
    <w:rsid w:val="00C35A3E"/>
    <w:rsid w:val="00C42130"/>
    <w:rsid w:val="00C423A4"/>
    <w:rsid w:val="00C423E3"/>
    <w:rsid w:val="00C44BF5"/>
    <w:rsid w:val="00C521D6"/>
    <w:rsid w:val="00C55232"/>
    <w:rsid w:val="00C553A4"/>
    <w:rsid w:val="00C55A06"/>
    <w:rsid w:val="00C55D03"/>
    <w:rsid w:val="00C601BC"/>
    <w:rsid w:val="00C6329F"/>
    <w:rsid w:val="00C63340"/>
    <w:rsid w:val="00C643F9"/>
    <w:rsid w:val="00C64E95"/>
    <w:rsid w:val="00C71372"/>
    <w:rsid w:val="00C72410"/>
    <w:rsid w:val="00C7287F"/>
    <w:rsid w:val="00C766DC"/>
    <w:rsid w:val="00C80CB8"/>
    <w:rsid w:val="00C819F8"/>
    <w:rsid w:val="00C8248C"/>
    <w:rsid w:val="00C84E33"/>
    <w:rsid w:val="00C86D6F"/>
    <w:rsid w:val="00C905FC"/>
    <w:rsid w:val="00C92D03"/>
    <w:rsid w:val="00C9319C"/>
    <w:rsid w:val="00C9435D"/>
    <w:rsid w:val="00C94DF2"/>
    <w:rsid w:val="00C96741"/>
    <w:rsid w:val="00CA2D1B"/>
    <w:rsid w:val="00CA375D"/>
    <w:rsid w:val="00CA662A"/>
    <w:rsid w:val="00CA7AFD"/>
    <w:rsid w:val="00CA7C3C"/>
    <w:rsid w:val="00CB0189"/>
    <w:rsid w:val="00CB0BA2"/>
    <w:rsid w:val="00CB1A42"/>
    <w:rsid w:val="00CB1B0C"/>
    <w:rsid w:val="00CB2C0B"/>
    <w:rsid w:val="00CB517D"/>
    <w:rsid w:val="00CC038D"/>
    <w:rsid w:val="00CC08DB"/>
    <w:rsid w:val="00CC39FF"/>
    <w:rsid w:val="00CC3C2F"/>
    <w:rsid w:val="00CC4AC8"/>
    <w:rsid w:val="00CC5233"/>
    <w:rsid w:val="00CC5DE6"/>
    <w:rsid w:val="00CC6E4E"/>
    <w:rsid w:val="00CC6FE8"/>
    <w:rsid w:val="00CC7202"/>
    <w:rsid w:val="00CD2808"/>
    <w:rsid w:val="00CD28BF"/>
    <w:rsid w:val="00CD4092"/>
    <w:rsid w:val="00CD4A20"/>
    <w:rsid w:val="00CD50A1"/>
    <w:rsid w:val="00CD519E"/>
    <w:rsid w:val="00CE0C4F"/>
    <w:rsid w:val="00CE30EA"/>
    <w:rsid w:val="00CF048A"/>
    <w:rsid w:val="00CF155A"/>
    <w:rsid w:val="00CF2947"/>
    <w:rsid w:val="00CF686F"/>
    <w:rsid w:val="00CF6E60"/>
    <w:rsid w:val="00CF7BCA"/>
    <w:rsid w:val="00D008FD"/>
    <w:rsid w:val="00D0321C"/>
    <w:rsid w:val="00D035EC"/>
    <w:rsid w:val="00D06AB1"/>
    <w:rsid w:val="00D06FC1"/>
    <w:rsid w:val="00D072ED"/>
    <w:rsid w:val="00D07A16"/>
    <w:rsid w:val="00D1067E"/>
    <w:rsid w:val="00D10F50"/>
    <w:rsid w:val="00D11272"/>
    <w:rsid w:val="00D126F5"/>
    <w:rsid w:val="00D1489E"/>
    <w:rsid w:val="00D20737"/>
    <w:rsid w:val="00D21E81"/>
    <w:rsid w:val="00D223DE"/>
    <w:rsid w:val="00D25E37"/>
    <w:rsid w:val="00D2661A"/>
    <w:rsid w:val="00D27582"/>
    <w:rsid w:val="00D27EC4"/>
    <w:rsid w:val="00D32719"/>
    <w:rsid w:val="00D33333"/>
    <w:rsid w:val="00D352A2"/>
    <w:rsid w:val="00D4162B"/>
    <w:rsid w:val="00D4514F"/>
    <w:rsid w:val="00D451E2"/>
    <w:rsid w:val="00D45E89"/>
    <w:rsid w:val="00D45E8D"/>
    <w:rsid w:val="00D466AE"/>
    <w:rsid w:val="00D4734F"/>
    <w:rsid w:val="00D51BF3"/>
    <w:rsid w:val="00D66846"/>
    <w:rsid w:val="00D675FB"/>
    <w:rsid w:val="00D71F25"/>
    <w:rsid w:val="00D72A9C"/>
    <w:rsid w:val="00D77031"/>
    <w:rsid w:val="00D84941"/>
    <w:rsid w:val="00D84FA1"/>
    <w:rsid w:val="00D851F0"/>
    <w:rsid w:val="00D86DB7"/>
    <w:rsid w:val="00D87BF5"/>
    <w:rsid w:val="00D90721"/>
    <w:rsid w:val="00D926D0"/>
    <w:rsid w:val="00D93030"/>
    <w:rsid w:val="00D950E1"/>
    <w:rsid w:val="00D952A6"/>
    <w:rsid w:val="00D97F99"/>
    <w:rsid w:val="00DA1E08"/>
    <w:rsid w:val="00DA24F8"/>
    <w:rsid w:val="00DA28E8"/>
    <w:rsid w:val="00DA38D3"/>
    <w:rsid w:val="00DA3932"/>
    <w:rsid w:val="00DA3AFC"/>
    <w:rsid w:val="00DA64F8"/>
    <w:rsid w:val="00DA6C15"/>
    <w:rsid w:val="00DA7966"/>
    <w:rsid w:val="00DB0258"/>
    <w:rsid w:val="00DB286E"/>
    <w:rsid w:val="00DB38EE"/>
    <w:rsid w:val="00DB498B"/>
    <w:rsid w:val="00DB66CA"/>
    <w:rsid w:val="00DB6BCA"/>
    <w:rsid w:val="00DB6F54"/>
    <w:rsid w:val="00DB73F7"/>
    <w:rsid w:val="00DC0321"/>
    <w:rsid w:val="00DC3067"/>
    <w:rsid w:val="00DC370B"/>
    <w:rsid w:val="00DC5B90"/>
    <w:rsid w:val="00DD00FF"/>
    <w:rsid w:val="00DD0619"/>
    <w:rsid w:val="00DD07FB"/>
    <w:rsid w:val="00DD25C6"/>
    <w:rsid w:val="00DD4FE5"/>
    <w:rsid w:val="00DD54B0"/>
    <w:rsid w:val="00DD57EE"/>
    <w:rsid w:val="00DD6BCC"/>
    <w:rsid w:val="00DE0A4B"/>
    <w:rsid w:val="00DE2410"/>
    <w:rsid w:val="00DE2939"/>
    <w:rsid w:val="00DE6E81"/>
    <w:rsid w:val="00DE703F"/>
    <w:rsid w:val="00DE7595"/>
    <w:rsid w:val="00DF1961"/>
    <w:rsid w:val="00DF44DE"/>
    <w:rsid w:val="00E01138"/>
    <w:rsid w:val="00E02DFB"/>
    <w:rsid w:val="00E030F9"/>
    <w:rsid w:val="00E0311A"/>
    <w:rsid w:val="00E03138"/>
    <w:rsid w:val="00E05B1A"/>
    <w:rsid w:val="00E06404"/>
    <w:rsid w:val="00E11A85"/>
    <w:rsid w:val="00E12495"/>
    <w:rsid w:val="00E15CCD"/>
    <w:rsid w:val="00E202EF"/>
    <w:rsid w:val="00E210B5"/>
    <w:rsid w:val="00E2552F"/>
    <w:rsid w:val="00E3137A"/>
    <w:rsid w:val="00E32CCF"/>
    <w:rsid w:val="00E337C9"/>
    <w:rsid w:val="00E34A98"/>
    <w:rsid w:val="00E35D1E"/>
    <w:rsid w:val="00E364F9"/>
    <w:rsid w:val="00E365FA"/>
    <w:rsid w:val="00E36789"/>
    <w:rsid w:val="00E4174B"/>
    <w:rsid w:val="00E44A83"/>
    <w:rsid w:val="00E502C1"/>
    <w:rsid w:val="00E502DD"/>
    <w:rsid w:val="00E50D3A"/>
    <w:rsid w:val="00E51387"/>
    <w:rsid w:val="00E51E68"/>
    <w:rsid w:val="00E52EFD"/>
    <w:rsid w:val="00E5408A"/>
    <w:rsid w:val="00E55624"/>
    <w:rsid w:val="00E56800"/>
    <w:rsid w:val="00E60C63"/>
    <w:rsid w:val="00E62FF9"/>
    <w:rsid w:val="00E635D6"/>
    <w:rsid w:val="00E639BC"/>
    <w:rsid w:val="00E664CC"/>
    <w:rsid w:val="00E70388"/>
    <w:rsid w:val="00E70F92"/>
    <w:rsid w:val="00E74313"/>
    <w:rsid w:val="00E74C54"/>
    <w:rsid w:val="00E77A03"/>
    <w:rsid w:val="00E822E8"/>
    <w:rsid w:val="00E82554"/>
    <w:rsid w:val="00E82606"/>
    <w:rsid w:val="00E831C1"/>
    <w:rsid w:val="00E846C8"/>
    <w:rsid w:val="00E84957"/>
    <w:rsid w:val="00E84A55"/>
    <w:rsid w:val="00E85BFF"/>
    <w:rsid w:val="00E90391"/>
    <w:rsid w:val="00E906C2"/>
    <w:rsid w:val="00E9311F"/>
    <w:rsid w:val="00E934D1"/>
    <w:rsid w:val="00E94AF0"/>
    <w:rsid w:val="00E95D13"/>
    <w:rsid w:val="00E95DD3"/>
    <w:rsid w:val="00E969D5"/>
    <w:rsid w:val="00EA58D1"/>
    <w:rsid w:val="00EA61BC"/>
    <w:rsid w:val="00EA681A"/>
    <w:rsid w:val="00EA735B"/>
    <w:rsid w:val="00EB1E69"/>
    <w:rsid w:val="00EB2086"/>
    <w:rsid w:val="00EB31ED"/>
    <w:rsid w:val="00EB5EDF"/>
    <w:rsid w:val="00EB60FE"/>
    <w:rsid w:val="00EB74DB"/>
    <w:rsid w:val="00EC5359"/>
    <w:rsid w:val="00EC562A"/>
    <w:rsid w:val="00ED067A"/>
    <w:rsid w:val="00ED2B50"/>
    <w:rsid w:val="00ED75C2"/>
    <w:rsid w:val="00EE0350"/>
    <w:rsid w:val="00EE0719"/>
    <w:rsid w:val="00EE0E80"/>
    <w:rsid w:val="00EE613F"/>
    <w:rsid w:val="00EE7295"/>
    <w:rsid w:val="00EE7869"/>
    <w:rsid w:val="00EF054A"/>
    <w:rsid w:val="00EF3235"/>
    <w:rsid w:val="00EF7076"/>
    <w:rsid w:val="00EF7E72"/>
    <w:rsid w:val="00F06D37"/>
    <w:rsid w:val="00F07B9D"/>
    <w:rsid w:val="00F11586"/>
    <w:rsid w:val="00F1183B"/>
    <w:rsid w:val="00F11C9F"/>
    <w:rsid w:val="00F12263"/>
    <w:rsid w:val="00F1409D"/>
    <w:rsid w:val="00F14214"/>
    <w:rsid w:val="00F157A9"/>
    <w:rsid w:val="00F16F00"/>
    <w:rsid w:val="00F25BB6"/>
    <w:rsid w:val="00F26B7E"/>
    <w:rsid w:val="00F27A3B"/>
    <w:rsid w:val="00F32780"/>
    <w:rsid w:val="00F33817"/>
    <w:rsid w:val="00F420D5"/>
    <w:rsid w:val="00F451EA"/>
    <w:rsid w:val="00F45447"/>
    <w:rsid w:val="00F456C6"/>
    <w:rsid w:val="00F4577B"/>
    <w:rsid w:val="00F46496"/>
    <w:rsid w:val="00F474D0"/>
    <w:rsid w:val="00F50179"/>
    <w:rsid w:val="00F515EE"/>
    <w:rsid w:val="00F56511"/>
    <w:rsid w:val="00F6194E"/>
    <w:rsid w:val="00F623AC"/>
    <w:rsid w:val="00F6412A"/>
    <w:rsid w:val="00F65893"/>
    <w:rsid w:val="00F66A4A"/>
    <w:rsid w:val="00F71E22"/>
    <w:rsid w:val="00F72142"/>
    <w:rsid w:val="00F72AE7"/>
    <w:rsid w:val="00F833BA"/>
    <w:rsid w:val="00F84FD0"/>
    <w:rsid w:val="00F859A8"/>
    <w:rsid w:val="00F86D87"/>
    <w:rsid w:val="00F9108B"/>
    <w:rsid w:val="00F91349"/>
    <w:rsid w:val="00F93A8A"/>
    <w:rsid w:val="00F95248"/>
    <w:rsid w:val="00F956A9"/>
    <w:rsid w:val="00F963ED"/>
    <w:rsid w:val="00F966CF"/>
    <w:rsid w:val="00F96CAE"/>
    <w:rsid w:val="00F97C99"/>
    <w:rsid w:val="00FA662D"/>
    <w:rsid w:val="00FA73B1"/>
    <w:rsid w:val="00FB0CB9"/>
    <w:rsid w:val="00FB231D"/>
    <w:rsid w:val="00FB45F1"/>
    <w:rsid w:val="00FB4A72"/>
    <w:rsid w:val="00FB54E8"/>
    <w:rsid w:val="00FB7054"/>
    <w:rsid w:val="00FC17B7"/>
    <w:rsid w:val="00FC2CB7"/>
    <w:rsid w:val="00FC4090"/>
    <w:rsid w:val="00FC55B4"/>
    <w:rsid w:val="00FD00E6"/>
    <w:rsid w:val="00FD09A1"/>
    <w:rsid w:val="00FD2A7C"/>
    <w:rsid w:val="00FD59EB"/>
    <w:rsid w:val="00FD7299"/>
    <w:rsid w:val="00FE1FBE"/>
    <w:rsid w:val="00FE3901"/>
    <w:rsid w:val="00FE39D3"/>
    <w:rsid w:val="00FE4BCE"/>
    <w:rsid w:val="00FE54AE"/>
    <w:rsid w:val="00FE576A"/>
    <w:rsid w:val="00FE7E79"/>
    <w:rsid w:val="00FF3E7D"/>
    <w:rsid w:val="00FF5B99"/>
    <w:rsid w:val="00FF730C"/>
    <w:rsid w:val="00FF73F4"/>
    <w:rsid w:val="00FF7CE4"/>
    <w:rsid w:val="00FF7E39"/>
    <w:rsid w:val="01A42093"/>
    <w:rsid w:val="028C2065"/>
    <w:rsid w:val="03913FC3"/>
    <w:rsid w:val="03DD1B49"/>
    <w:rsid w:val="03E15B68"/>
    <w:rsid w:val="047E3330"/>
    <w:rsid w:val="048D5037"/>
    <w:rsid w:val="053973EC"/>
    <w:rsid w:val="05C30788"/>
    <w:rsid w:val="0752337B"/>
    <w:rsid w:val="08435968"/>
    <w:rsid w:val="091F4A0D"/>
    <w:rsid w:val="09AE218C"/>
    <w:rsid w:val="0B033967"/>
    <w:rsid w:val="0B550CF8"/>
    <w:rsid w:val="0CD8573D"/>
    <w:rsid w:val="0D7273CB"/>
    <w:rsid w:val="0F1C7610"/>
    <w:rsid w:val="11CC7C14"/>
    <w:rsid w:val="12021979"/>
    <w:rsid w:val="12D57D1D"/>
    <w:rsid w:val="137637ED"/>
    <w:rsid w:val="13E57956"/>
    <w:rsid w:val="146854BE"/>
    <w:rsid w:val="15003A82"/>
    <w:rsid w:val="15897610"/>
    <w:rsid w:val="164F4421"/>
    <w:rsid w:val="16723E03"/>
    <w:rsid w:val="180E1E94"/>
    <w:rsid w:val="18155833"/>
    <w:rsid w:val="186C0DDF"/>
    <w:rsid w:val="19193365"/>
    <w:rsid w:val="19C90789"/>
    <w:rsid w:val="19D832D2"/>
    <w:rsid w:val="1A1813A7"/>
    <w:rsid w:val="1AB922BB"/>
    <w:rsid w:val="1B090296"/>
    <w:rsid w:val="1B3501FE"/>
    <w:rsid w:val="1B5E0B66"/>
    <w:rsid w:val="1B9473BF"/>
    <w:rsid w:val="1D3A2C59"/>
    <w:rsid w:val="1ED1023E"/>
    <w:rsid w:val="1F1A38B7"/>
    <w:rsid w:val="20C242E2"/>
    <w:rsid w:val="214964F9"/>
    <w:rsid w:val="21F86B09"/>
    <w:rsid w:val="21F96D0F"/>
    <w:rsid w:val="22093019"/>
    <w:rsid w:val="221B797F"/>
    <w:rsid w:val="223119FD"/>
    <w:rsid w:val="238330B5"/>
    <w:rsid w:val="241F4E61"/>
    <w:rsid w:val="242F6132"/>
    <w:rsid w:val="24F9229C"/>
    <w:rsid w:val="2547470C"/>
    <w:rsid w:val="258107EC"/>
    <w:rsid w:val="25EB432D"/>
    <w:rsid w:val="26C47E1C"/>
    <w:rsid w:val="26C863CA"/>
    <w:rsid w:val="27000A12"/>
    <w:rsid w:val="27381994"/>
    <w:rsid w:val="27BD6923"/>
    <w:rsid w:val="28A17A8B"/>
    <w:rsid w:val="293E5013"/>
    <w:rsid w:val="29C450D7"/>
    <w:rsid w:val="2A6218D0"/>
    <w:rsid w:val="2B240362"/>
    <w:rsid w:val="2B252F4A"/>
    <w:rsid w:val="2B801021"/>
    <w:rsid w:val="2B9E460C"/>
    <w:rsid w:val="2BE760A3"/>
    <w:rsid w:val="2C225220"/>
    <w:rsid w:val="2C2B0F60"/>
    <w:rsid w:val="2C7A3CC3"/>
    <w:rsid w:val="2E2E1B4B"/>
    <w:rsid w:val="2ED91708"/>
    <w:rsid w:val="2EF20132"/>
    <w:rsid w:val="30330113"/>
    <w:rsid w:val="307B42EA"/>
    <w:rsid w:val="308B34FF"/>
    <w:rsid w:val="30C827FD"/>
    <w:rsid w:val="31162DB6"/>
    <w:rsid w:val="318935F8"/>
    <w:rsid w:val="3219013B"/>
    <w:rsid w:val="32AC4318"/>
    <w:rsid w:val="32FF5A88"/>
    <w:rsid w:val="33382F62"/>
    <w:rsid w:val="335B5AFB"/>
    <w:rsid w:val="339935C8"/>
    <w:rsid w:val="3533180D"/>
    <w:rsid w:val="35A7502C"/>
    <w:rsid w:val="35DC1F6B"/>
    <w:rsid w:val="367F4CF7"/>
    <w:rsid w:val="36B77D07"/>
    <w:rsid w:val="36F62AE0"/>
    <w:rsid w:val="380E2899"/>
    <w:rsid w:val="38B40B71"/>
    <w:rsid w:val="38E52909"/>
    <w:rsid w:val="3906649C"/>
    <w:rsid w:val="39D71B1E"/>
    <w:rsid w:val="3AB72B2D"/>
    <w:rsid w:val="3B512DAC"/>
    <w:rsid w:val="3C0F7D9F"/>
    <w:rsid w:val="3C520172"/>
    <w:rsid w:val="3CF53C1A"/>
    <w:rsid w:val="3F1760B6"/>
    <w:rsid w:val="3F846535"/>
    <w:rsid w:val="3FE97F04"/>
    <w:rsid w:val="400E6D6C"/>
    <w:rsid w:val="402057C0"/>
    <w:rsid w:val="40995B7E"/>
    <w:rsid w:val="40BC4008"/>
    <w:rsid w:val="414D24B7"/>
    <w:rsid w:val="41BE2001"/>
    <w:rsid w:val="42207310"/>
    <w:rsid w:val="43325021"/>
    <w:rsid w:val="43E252A7"/>
    <w:rsid w:val="44DF6F4E"/>
    <w:rsid w:val="453B16F6"/>
    <w:rsid w:val="468847BD"/>
    <w:rsid w:val="46D36999"/>
    <w:rsid w:val="46F061A3"/>
    <w:rsid w:val="481C6D75"/>
    <w:rsid w:val="489D725F"/>
    <w:rsid w:val="48CB0C12"/>
    <w:rsid w:val="49E07598"/>
    <w:rsid w:val="4ABF43CF"/>
    <w:rsid w:val="4B025A23"/>
    <w:rsid w:val="4BEB413A"/>
    <w:rsid w:val="4C3312B7"/>
    <w:rsid w:val="4C4A5CF3"/>
    <w:rsid w:val="4C8C2B3B"/>
    <w:rsid w:val="4CC154A0"/>
    <w:rsid w:val="4CD4551D"/>
    <w:rsid w:val="4CE949C4"/>
    <w:rsid w:val="4D9D5041"/>
    <w:rsid w:val="4EFB766D"/>
    <w:rsid w:val="50356B52"/>
    <w:rsid w:val="519909BB"/>
    <w:rsid w:val="538928BA"/>
    <w:rsid w:val="539363F4"/>
    <w:rsid w:val="54034F9B"/>
    <w:rsid w:val="543D58B6"/>
    <w:rsid w:val="54E26CD8"/>
    <w:rsid w:val="55B906C1"/>
    <w:rsid w:val="55C027DF"/>
    <w:rsid w:val="57095157"/>
    <w:rsid w:val="575729E9"/>
    <w:rsid w:val="59BD4E33"/>
    <w:rsid w:val="5A455061"/>
    <w:rsid w:val="5AD563E4"/>
    <w:rsid w:val="5B6E5782"/>
    <w:rsid w:val="5CF748C1"/>
    <w:rsid w:val="5E5763C7"/>
    <w:rsid w:val="6013019C"/>
    <w:rsid w:val="607E307A"/>
    <w:rsid w:val="622F0AD0"/>
    <w:rsid w:val="62393078"/>
    <w:rsid w:val="63760BAB"/>
    <w:rsid w:val="63E63835"/>
    <w:rsid w:val="63ED197A"/>
    <w:rsid w:val="64F968C0"/>
    <w:rsid w:val="664F7993"/>
    <w:rsid w:val="66FC2F4B"/>
    <w:rsid w:val="670C2CF8"/>
    <w:rsid w:val="682F4DCC"/>
    <w:rsid w:val="694616A0"/>
    <w:rsid w:val="6A3E376A"/>
    <w:rsid w:val="6A5E3620"/>
    <w:rsid w:val="6BF120C3"/>
    <w:rsid w:val="6C18358F"/>
    <w:rsid w:val="6FAD2DE7"/>
    <w:rsid w:val="70096E04"/>
    <w:rsid w:val="71B30C80"/>
    <w:rsid w:val="71D423E2"/>
    <w:rsid w:val="71FC3A2A"/>
    <w:rsid w:val="72BF0B0B"/>
    <w:rsid w:val="72CB51F2"/>
    <w:rsid w:val="73F829F9"/>
    <w:rsid w:val="74237D69"/>
    <w:rsid w:val="748F5F23"/>
    <w:rsid w:val="74B55EA7"/>
    <w:rsid w:val="75BB5CF5"/>
    <w:rsid w:val="761A4D10"/>
    <w:rsid w:val="76DF3902"/>
    <w:rsid w:val="76F37EC6"/>
    <w:rsid w:val="770E7685"/>
    <w:rsid w:val="788A0925"/>
    <w:rsid w:val="790A28DE"/>
    <w:rsid w:val="79A436FA"/>
    <w:rsid w:val="79D51B05"/>
    <w:rsid w:val="7A4164CF"/>
    <w:rsid w:val="7A721EC3"/>
    <w:rsid w:val="7A75429A"/>
    <w:rsid w:val="7B4A207F"/>
    <w:rsid w:val="7BDC7AE0"/>
    <w:rsid w:val="7C0F5684"/>
    <w:rsid w:val="7C5469B7"/>
    <w:rsid w:val="7D8E0949"/>
    <w:rsid w:val="7DA82F1F"/>
    <w:rsid w:val="7DCA3EBF"/>
    <w:rsid w:val="7E447410"/>
    <w:rsid w:val="7EE93A89"/>
    <w:rsid w:val="7EF52EF9"/>
    <w:rsid w:val="7F0A68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uiPriority="0" w:name="toc 8"/>
    <w:lsdException w:uiPriority="0" w:name="toc 9"/>
    <w:lsdException w:qFormat="1" w:unhideWhenUsed="0" w:uiPriority="0" w:semiHidden="0" w:name="Normal Indent"/>
    <w:lsdException w:qFormat="1" w:unhideWhenUsed="0" w:uiPriority="0"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qFormat="1" w:unhideWhenUsed="0" w:uiPriority="0"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400" w:lineRule="exact"/>
      <w:jc w:val="both"/>
    </w:pPr>
    <w:rPr>
      <w:rFonts w:ascii="Calibri" w:hAnsi="Calibri" w:eastAsia="宋体" w:cs="Times New Roman"/>
      <w:kern w:val="2"/>
      <w:sz w:val="21"/>
      <w:szCs w:val="21"/>
      <w:lang w:val="en-US" w:eastAsia="zh-CN" w:bidi="ar-SA"/>
    </w:rPr>
  </w:style>
  <w:style w:type="paragraph" w:styleId="2">
    <w:name w:val="heading 1"/>
    <w:basedOn w:val="1"/>
    <w:next w:val="1"/>
    <w:link w:val="4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48"/>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49"/>
    <w:qFormat/>
    <w:uiPriority w:val="0"/>
    <w:pPr>
      <w:keepNext/>
      <w:keepLines/>
      <w:spacing w:before="260" w:after="260" w:line="416" w:lineRule="auto"/>
      <w:outlineLvl w:val="2"/>
    </w:pPr>
    <w:rPr>
      <w:b/>
      <w:bCs/>
      <w:sz w:val="32"/>
      <w:szCs w:val="32"/>
    </w:rPr>
  </w:style>
  <w:style w:type="paragraph" w:styleId="5">
    <w:name w:val="heading 4"/>
    <w:basedOn w:val="1"/>
    <w:next w:val="1"/>
    <w:link w:val="50"/>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51"/>
    <w:qFormat/>
    <w:uiPriority w:val="0"/>
    <w:pPr>
      <w:keepNext/>
      <w:keepLines/>
      <w:adjustRightInd/>
      <w:spacing w:before="280" w:after="290" w:line="376" w:lineRule="auto"/>
      <w:outlineLvl w:val="4"/>
    </w:pPr>
    <w:rPr>
      <w:b/>
      <w:bCs/>
      <w:sz w:val="28"/>
      <w:szCs w:val="28"/>
    </w:rPr>
  </w:style>
  <w:style w:type="paragraph" w:styleId="7">
    <w:name w:val="heading 6"/>
    <w:basedOn w:val="1"/>
    <w:next w:val="1"/>
    <w:link w:val="52"/>
    <w:qFormat/>
    <w:uiPriority w:val="0"/>
    <w:pPr>
      <w:keepNext/>
      <w:keepLines/>
      <w:adjustRightInd/>
      <w:spacing w:before="240" w:after="64" w:line="320" w:lineRule="auto"/>
      <w:outlineLvl w:val="5"/>
    </w:pPr>
    <w:rPr>
      <w:rFonts w:ascii="Arial" w:hAnsi="Arial" w:eastAsia="黑体"/>
      <w:b/>
      <w:bCs/>
      <w:sz w:val="24"/>
      <w:szCs w:val="24"/>
    </w:rPr>
  </w:style>
  <w:style w:type="paragraph" w:styleId="8">
    <w:name w:val="heading 7"/>
    <w:basedOn w:val="1"/>
    <w:next w:val="1"/>
    <w:link w:val="53"/>
    <w:qFormat/>
    <w:uiPriority w:val="0"/>
    <w:pPr>
      <w:keepNext/>
      <w:keepLines/>
      <w:adjustRightInd/>
      <w:spacing w:before="240" w:after="64" w:line="320" w:lineRule="auto"/>
      <w:outlineLvl w:val="6"/>
    </w:pPr>
    <w:rPr>
      <w:b/>
      <w:bCs/>
      <w:sz w:val="24"/>
      <w:szCs w:val="24"/>
    </w:rPr>
  </w:style>
  <w:style w:type="paragraph" w:styleId="9">
    <w:name w:val="heading 8"/>
    <w:basedOn w:val="1"/>
    <w:next w:val="1"/>
    <w:link w:val="54"/>
    <w:qFormat/>
    <w:uiPriority w:val="0"/>
    <w:pPr>
      <w:keepNext/>
      <w:keepLines/>
      <w:adjustRightInd/>
      <w:spacing w:before="240" w:after="64" w:line="320" w:lineRule="auto"/>
      <w:outlineLvl w:val="7"/>
    </w:pPr>
    <w:rPr>
      <w:rFonts w:ascii="Arial" w:hAnsi="Arial" w:eastAsia="黑体"/>
      <w:sz w:val="24"/>
      <w:szCs w:val="24"/>
    </w:rPr>
  </w:style>
  <w:style w:type="paragraph" w:styleId="10">
    <w:name w:val="heading 9"/>
    <w:basedOn w:val="1"/>
    <w:next w:val="1"/>
    <w:link w:val="55"/>
    <w:qFormat/>
    <w:uiPriority w:val="0"/>
    <w:pPr>
      <w:keepNext/>
      <w:keepLines/>
      <w:adjustRightInd/>
      <w:spacing w:before="240" w:after="64" w:line="320" w:lineRule="auto"/>
      <w:outlineLvl w:val="8"/>
    </w:pPr>
    <w:rPr>
      <w:rFonts w:ascii="Arial" w:hAnsi="Arial" w:eastAsia="黑体"/>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tabs>
        <w:tab w:val="right" w:leader="dot" w:pos="9344"/>
      </w:tabs>
      <w:spacing w:line="300" w:lineRule="exact"/>
      <w:ind w:left="1259"/>
    </w:pPr>
    <w:rPr>
      <w:rFonts w:ascii="宋体"/>
    </w:rPr>
  </w:style>
  <w:style w:type="paragraph" w:styleId="12">
    <w:name w:val="Normal Indent"/>
    <w:basedOn w:val="1"/>
    <w:qFormat/>
    <w:uiPriority w:val="0"/>
    <w:pPr>
      <w:ind w:firstLine="420"/>
    </w:pPr>
  </w:style>
  <w:style w:type="paragraph" w:styleId="13">
    <w:name w:val="Body Text"/>
    <w:basedOn w:val="1"/>
    <w:link w:val="97"/>
    <w:qFormat/>
    <w:uiPriority w:val="0"/>
    <w:pPr>
      <w:spacing w:after="120"/>
    </w:pPr>
  </w:style>
  <w:style w:type="paragraph" w:styleId="14">
    <w:name w:val="toc 5"/>
    <w:basedOn w:val="1"/>
    <w:next w:val="1"/>
    <w:autoRedefine/>
    <w:unhideWhenUsed/>
    <w:qFormat/>
    <w:uiPriority w:val="39"/>
    <w:pPr>
      <w:ind w:left="839"/>
    </w:pPr>
    <w:rPr>
      <w:rFonts w:ascii="宋体"/>
    </w:rPr>
  </w:style>
  <w:style w:type="paragraph" w:styleId="15">
    <w:name w:val="toc 3"/>
    <w:basedOn w:val="1"/>
    <w:next w:val="1"/>
    <w:autoRedefine/>
    <w:unhideWhenUsed/>
    <w:qFormat/>
    <w:uiPriority w:val="39"/>
    <w:pPr>
      <w:spacing w:line="300" w:lineRule="exact"/>
      <w:ind w:left="420"/>
    </w:pPr>
    <w:rPr>
      <w:rFonts w:ascii="宋体"/>
    </w:rPr>
  </w:style>
  <w:style w:type="paragraph" w:styleId="16">
    <w:name w:val="Balloon Text"/>
    <w:basedOn w:val="1"/>
    <w:link w:val="58"/>
    <w:semiHidden/>
    <w:unhideWhenUsed/>
    <w:qFormat/>
    <w:uiPriority w:val="99"/>
    <w:rPr>
      <w:sz w:val="18"/>
      <w:szCs w:val="18"/>
    </w:rPr>
  </w:style>
  <w:style w:type="paragraph" w:styleId="17">
    <w:name w:val="footer"/>
    <w:basedOn w:val="1"/>
    <w:link w:val="57"/>
    <w:qFormat/>
    <w:uiPriority w:val="99"/>
    <w:pPr>
      <w:tabs>
        <w:tab w:val="center" w:pos="4153"/>
        <w:tab w:val="right" w:pos="8306"/>
      </w:tabs>
      <w:adjustRightInd/>
      <w:snapToGrid w:val="0"/>
      <w:spacing w:line="240" w:lineRule="auto"/>
      <w:jc w:val="right"/>
    </w:pPr>
    <w:rPr>
      <w:rFonts w:ascii="宋体"/>
      <w:sz w:val="18"/>
      <w:szCs w:val="18"/>
    </w:rPr>
  </w:style>
  <w:style w:type="paragraph" w:styleId="18">
    <w:name w:val="header"/>
    <w:basedOn w:val="1"/>
    <w:link w:val="56"/>
    <w:qFormat/>
    <w:uiPriority w:val="99"/>
    <w:pPr>
      <w:tabs>
        <w:tab w:val="center" w:pos="4153"/>
        <w:tab w:val="right" w:pos="8306"/>
      </w:tabs>
      <w:adjustRightInd/>
      <w:snapToGrid w:val="0"/>
      <w:jc w:val="center"/>
    </w:pPr>
    <w:rPr>
      <w:sz w:val="18"/>
      <w:szCs w:val="18"/>
    </w:rPr>
  </w:style>
  <w:style w:type="paragraph" w:styleId="19">
    <w:name w:val="toc 1"/>
    <w:basedOn w:val="1"/>
    <w:next w:val="1"/>
    <w:autoRedefine/>
    <w:unhideWhenUsed/>
    <w:qFormat/>
    <w:uiPriority w:val="39"/>
    <w:rPr>
      <w:rFonts w:ascii="宋体"/>
    </w:rPr>
  </w:style>
  <w:style w:type="paragraph" w:styleId="20">
    <w:name w:val="toc 4"/>
    <w:basedOn w:val="1"/>
    <w:next w:val="1"/>
    <w:autoRedefine/>
    <w:unhideWhenUsed/>
    <w:qFormat/>
    <w:uiPriority w:val="39"/>
    <w:pPr>
      <w:tabs>
        <w:tab w:val="right" w:leader="dot" w:pos="9344"/>
      </w:tabs>
      <w:spacing w:line="300" w:lineRule="exact"/>
      <w:ind w:left="629"/>
    </w:pPr>
    <w:rPr>
      <w:rFonts w:ascii="宋体"/>
    </w:rPr>
  </w:style>
  <w:style w:type="paragraph" w:styleId="21">
    <w:name w:val="footnote text"/>
    <w:basedOn w:val="1"/>
    <w:next w:val="1"/>
    <w:link w:val="108"/>
    <w:semiHidden/>
    <w:qFormat/>
    <w:uiPriority w:val="0"/>
    <w:pPr>
      <w:adjustRightInd/>
      <w:snapToGrid w:val="0"/>
      <w:spacing w:line="300" w:lineRule="exact"/>
      <w:ind w:left="400" w:leftChars="200" w:hanging="200" w:hangingChars="200"/>
      <w:jc w:val="left"/>
    </w:pPr>
    <w:rPr>
      <w:rFonts w:ascii="宋体"/>
      <w:sz w:val="18"/>
      <w:szCs w:val="18"/>
    </w:rPr>
  </w:style>
  <w:style w:type="paragraph" w:styleId="22">
    <w:name w:val="toc 6"/>
    <w:basedOn w:val="1"/>
    <w:next w:val="1"/>
    <w:autoRedefine/>
    <w:unhideWhenUsed/>
    <w:qFormat/>
    <w:uiPriority w:val="39"/>
    <w:pPr>
      <w:spacing w:line="300" w:lineRule="exact"/>
      <w:ind w:left="1049"/>
    </w:pPr>
    <w:rPr>
      <w:rFonts w:ascii="宋体"/>
    </w:rPr>
  </w:style>
  <w:style w:type="paragraph" w:styleId="23">
    <w:name w:val="table of figures"/>
    <w:basedOn w:val="1"/>
    <w:next w:val="1"/>
    <w:semiHidden/>
    <w:qFormat/>
    <w:uiPriority w:val="0"/>
    <w:pPr>
      <w:adjustRightInd/>
      <w:spacing w:line="240" w:lineRule="auto"/>
      <w:jc w:val="left"/>
    </w:pPr>
    <w:rPr>
      <w:szCs w:val="24"/>
    </w:rPr>
  </w:style>
  <w:style w:type="paragraph" w:styleId="24">
    <w:name w:val="toc 2"/>
    <w:basedOn w:val="1"/>
    <w:next w:val="1"/>
    <w:autoRedefine/>
    <w:unhideWhenUsed/>
    <w:qFormat/>
    <w:uiPriority w:val="39"/>
    <w:pPr>
      <w:tabs>
        <w:tab w:val="right" w:leader="dot" w:pos="9344"/>
      </w:tabs>
      <w:spacing w:line="300" w:lineRule="exact"/>
      <w:ind w:left="210"/>
    </w:pPr>
    <w:rPr>
      <w:rFonts w:ascii="宋体"/>
    </w:rPr>
  </w:style>
  <w:style w:type="paragraph" w:styleId="25">
    <w:name w:val="Title"/>
    <w:basedOn w:val="1"/>
    <w:link w:val="61"/>
    <w:qFormat/>
    <w:uiPriority w:val="0"/>
    <w:pPr>
      <w:spacing w:before="240" w:after="60"/>
      <w:jc w:val="center"/>
      <w:outlineLvl w:val="0"/>
    </w:pPr>
    <w:rPr>
      <w:rFonts w:ascii="Arial" w:hAnsi="Arial" w:cs="Arial"/>
      <w:b/>
      <w:bCs/>
      <w:sz w:val="32"/>
      <w:szCs w:val="32"/>
    </w:rPr>
  </w:style>
  <w:style w:type="table" w:styleId="27">
    <w:name w:val="Table Grid"/>
    <w:basedOn w:val="2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qFormat/>
    <w:uiPriority w:val="22"/>
    <w:rPr>
      <w:b/>
      <w:bCs/>
    </w:rPr>
  </w:style>
  <w:style w:type="character" w:styleId="30">
    <w:name w:val="page number"/>
    <w:qFormat/>
    <w:uiPriority w:val="0"/>
    <w:rPr>
      <w:rFonts w:ascii="宋体" w:hAnsi="Times New Roman" w:eastAsia="宋体"/>
      <w:sz w:val="18"/>
    </w:rPr>
  </w:style>
  <w:style w:type="character" w:styleId="31">
    <w:name w:val="Emphasis"/>
    <w:qFormat/>
    <w:uiPriority w:val="20"/>
    <w:rPr>
      <w:i/>
      <w:iCs/>
    </w:rPr>
  </w:style>
  <w:style w:type="character" w:styleId="32">
    <w:name w:val="Hyperlink"/>
    <w:qFormat/>
    <w:uiPriority w:val="99"/>
    <w:rPr>
      <w:rFonts w:ascii="宋体" w:hAnsi="Times New Roman" w:eastAsia="宋体"/>
      <w:color w:val="auto"/>
      <w:spacing w:val="0"/>
      <w:w w:val="100"/>
      <w:position w:val="0"/>
      <w:sz w:val="21"/>
      <w:u w:val="none"/>
      <w:vertAlign w:val="baseline"/>
    </w:rPr>
  </w:style>
  <w:style w:type="character" w:styleId="33">
    <w:name w:val="footnote reference"/>
    <w:semiHidden/>
    <w:qFormat/>
    <w:uiPriority w:val="0"/>
    <w:rPr>
      <w:rFonts w:ascii="宋体" w:hAnsi="宋体" w:eastAsia="宋体" w:cs="Times New Roman"/>
      <w:spacing w:val="0"/>
      <w:sz w:val="18"/>
      <w:vertAlign w:val="superscript"/>
    </w:rPr>
  </w:style>
  <w:style w:type="paragraph" w:customStyle="1" w:styleId="34">
    <w:name w:val="标准文件_引言一级条标题"/>
    <w:basedOn w:val="35"/>
    <w:next w:val="35"/>
    <w:qFormat/>
    <w:uiPriority w:val="0"/>
    <w:pPr>
      <w:numPr>
        <w:ilvl w:val="1"/>
        <w:numId w:val="1"/>
      </w:numPr>
      <w:spacing w:before="50" w:beforeLines="50" w:after="50" w:afterLines="50"/>
      <w:ind w:firstLineChars="0"/>
    </w:pPr>
    <w:rPr>
      <w:rFonts w:ascii="黑体" w:eastAsia="黑体"/>
    </w:rPr>
  </w:style>
  <w:style w:type="paragraph" w:customStyle="1" w:styleId="35">
    <w:name w:val="标准文件_段"/>
    <w:link w:val="189"/>
    <w:qFormat/>
    <w:uiPriority w:val="0"/>
    <w:pPr>
      <w:autoSpaceDE w:val="0"/>
      <w:autoSpaceDN w:val="0"/>
      <w:ind w:firstLine="200" w:firstLineChars="200"/>
      <w:jc w:val="both"/>
    </w:pPr>
    <w:rPr>
      <w:rFonts w:ascii="Times New Roman" w:hAnsi="Times New Roman" w:eastAsia="宋体" w:cs="Times New Roman"/>
      <w:sz w:val="21"/>
      <w:lang w:val="en-US" w:eastAsia="zh-CN" w:bidi="ar-SA"/>
    </w:rPr>
  </w:style>
  <w:style w:type="paragraph" w:customStyle="1" w:styleId="36">
    <w:name w:val="标准文件_引言二级条标题"/>
    <w:basedOn w:val="35"/>
    <w:next w:val="35"/>
    <w:qFormat/>
    <w:uiPriority w:val="0"/>
    <w:pPr>
      <w:numPr>
        <w:ilvl w:val="2"/>
        <w:numId w:val="1"/>
      </w:numPr>
      <w:spacing w:before="50" w:beforeLines="50" w:after="50" w:afterLines="50"/>
      <w:ind w:firstLineChars="0"/>
    </w:pPr>
    <w:rPr>
      <w:rFonts w:ascii="黑体" w:eastAsia="黑体"/>
    </w:rPr>
  </w:style>
  <w:style w:type="paragraph" w:customStyle="1" w:styleId="37">
    <w:name w:val="标准文件_引言三级条标题"/>
    <w:basedOn w:val="35"/>
    <w:next w:val="35"/>
    <w:qFormat/>
    <w:uiPriority w:val="0"/>
    <w:pPr>
      <w:numPr>
        <w:ilvl w:val="3"/>
        <w:numId w:val="1"/>
      </w:numPr>
      <w:spacing w:before="50" w:beforeLines="50" w:after="50" w:afterLines="50"/>
      <w:ind w:firstLineChars="0"/>
    </w:pPr>
    <w:rPr>
      <w:rFonts w:ascii="黑体" w:eastAsia="黑体"/>
    </w:rPr>
  </w:style>
  <w:style w:type="paragraph" w:customStyle="1" w:styleId="38">
    <w:name w:val="标准文件_引言四级条标题"/>
    <w:basedOn w:val="35"/>
    <w:next w:val="35"/>
    <w:qFormat/>
    <w:uiPriority w:val="0"/>
    <w:pPr>
      <w:numPr>
        <w:ilvl w:val="4"/>
        <w:numId w:val="1"/>
      </w:numPr>
      <w:spacing w:before="50" w:beforeLines="50" w:after="50" w:afterLines="50"/>
      <w:ind w:firstLineChars="0"/>
    </w:pPr>
    <w:rPr>
      <w:rFonts w:ascii="黑体" w:eastAsia="黑体"/>
    </w:rPr>
  </w:style>
  <w:style w:type="paragraph" w:customStyle="1" w:styleId="39">
    <w:name w:val="标准文件_引言五级条标题"/>
    <w:basedOn w:val="35"/>
    <w:next w:val="35"/>
    <w:qFormat/>
    <w:uiPriority w:val="0"/>
    <w:pPr>
      <w:numPr>
        <w:ilvl w:val="5"/>
        <w:numId w:val="1"/>
      </w:numPr>
      <w:spacing w:before="50" w:beforeLines="50" w:after="50" w:afterLines="50"/>
      <w:ind w:firstLineChars="0"/>
    </w:pPr>
    <w:rPr>
      <w:rFonts w:ascii="黑体" w:eastAsia="黑体"/>
    </w:rPr>
  </w:style>
  <w:style w:type="paragraph" w:customStyle="1" w:styleId="40">
    <w:name w:val="前言标题"/>
    <w:next w:val="1"/>
    <w:qFormat/>
    <w:uiPriority w:val="0"/>
    <w:pPr>
      <w:numPr>
        <w:ilvl w:val="0"/>
        <w:numId w:val="2"/>
      </w:num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41">
    <w:name w:val="标准文件_一级条标题"/>
    <w:basedOn w:val="42"/>
    <w:next w:val="35"/>
    <w:qFormat/>
    <w:uiPriority w:val="0"/>
    <w:pPr>
      <w:numPr>
        <w:ilvl w:val="2"/>
      </w:numPr>
      <w:spacing w:before="50" w:beforeLines="50" w:after="50" w:afterLines="50"/>
      <w:outlineLvl w:val="1"/>
    </w:pPr>
  </w:style>
  <w:style w:type="paragraph" w:customStyle="1" w:styleId="42">
    <w:name w:val="标准文件_章标题"/>
    <w:next w:val="35"/>
    <w:qFormat/>
    <w:uiPriority w:val="0"/>
    <w:pPr>
      <w:numPr>
        <w:ilvl w:val="1"/>
        <w:numId w:val="2"/>
      </w:numPr>
      <w:spacing w:before="100" w:beforeLines="100" w:after="100" w:afterLines="100"/>
      <w:jc w:val="both"/>
      <w:outlineLvl w:val="0"/>
    </w:pPr>
    <w:rPr>
      <w:rFonts w:ascii="黑体" w:hAnsi="Times New Roman" w:eastAsia="黑体" w:cs="Times New Roman"/>
      <w:sz w:val="21"/>
      <w:lang w:val="en-US" w:eastAsia="zh-CN" w:bidi="ar-SA"/>
    </w:rPr>
  </w:style>
  <w:style w:type="paragraph" w:customStyle="1" w:styleId="43">
    <w:name w:val="标准文件_二级条标题"/>
    <w:next w:val="35"/>
    <w:qFormat/>
    <w:uiPriority w:val="0"/>
    <w:pPr>
      <w:widowControl w:val="0"/>
      <w:numPr>
        <w:ilvl w:val="3"/>
        <w:numId w:val="2"/>
      </w:numPr>
      <w:spacing w:before="50" w:beforeLines="50" w:after="50" w:afterLines="50"/>
      <w:jc w:val="both"/>
      <w:outlineLvl w:val="2"/>
    </w:pPr>
    <w:rPr>
      <w:rFonts w:ascii="黑体" w:hAnsi="Times New Roman" w:eastAsia="黑体" w:cs="Times New Roman"/>
      <w:sz w:val="21"/>
      <w:lang w:val="en-US" w:eastAsia="zh-CN" w:bidi="ar-SA"/>
    </w:rPr>
  </w:style>
  <w:style w:type="paragraph" w:customStyle="1" w:styleId="44">
    <w:name w:val="标准文件_三级条标题"/>
    <w:basedOn w:val="43"/>
    <w:next w:val="35"/>
    <w:qFormat/>
    <w:uiPriority w:val="0"/>
    <w:pPr>
      <w:widowControl/>
      <w:numPr>
        <w:ilvl w:val="4"/>
      </w:numPr>
      <w:outlineLvl w:val="3"/>
    </w:pPr>
  </w:style>
  <w:style w:type="paragraph" w:customStyle="1" w:styleId="45">
    <w:name w:val="标准文件_四级条标题"/>
    <w:next w:val="35"/>
    <w:qFormat/>
    <w:uiPriority w:val="0"/>
    <w:pPr>
      <w:widowControl w:val="0"/>
      <w:numPr>
        <w:ilvl w:val="5"/>
        <w:numId w:val="2"/>
      </w:numPr>
      <w:spacing w:before="50" w:beforeLines="50" w:after="50" w:afterLines="50"/>
      <w:jc w:val="both"/>
      <w:outlineLvl w:val="4"/>
    </w:pPr>
    <w:rPr>
      <w:rFonts w:ascii="黑体" w:hAnsi="Times New Roman" w:eastAsia="黑体" w:cs="Times New Roman"/>
      <w:sz w:val="21"/>
      <w:lang w:val="en-US" w:eastAsia="zh-CN" w:bidi="ar-SA"/>
    </w:rPr>
  </w:style>
  <w:style w:type="paragraph" w:customStyle="1" w:styleId="46">
    <w:name w:val="标准文件_五级条标题"/>
    <w:next w:val="35"/>
    <w:qFormat/>
    <w:uiPriority w:val="0"/>
    <w:pPr>
      <w:widowControl w:val="0"/>
      <w:numPr>
        <w:ilvl w:val="6"/>
        <w:numId w:val="2"/>
      </w:numPr>
      <w:spacing w:before="50" w:beforeLines="50" w:after="50" w:afterLines="50"/>
      <w:jc w:val="both"/>
      <w:outlineLvl w:val="5"/>
    </w:pPr>
    <w:rPr>
      <w:rFonts w:ascii="黑体" w:hAnsi="Times New Roman" w:eastAsia="黑体" w:cs="Times New Roman"/>
      <w:sz w:val="21"/>
      <w:lang w:val="en-US" w:eastAsia="zh-CN" w:bidi="ar-SA"/>
    </w:rPr>
  </w:style>
  <w:style w:type="character" w:customStyle="1" w:styleId="47">
    <w:name w:val="标题 1 字符"/>
    <w:link w:val="2"/>
    <w:qFormat/>
    <w:uiPriority w:val="0"/>
    <w:rPr>
      <w:b/>
      <w:bCs/>
      <w:kern w:val="44"/>
      <w:sz w:val="44"/>
      <w:szCs w:val="44"/>
    </w:rPr>
  </w:style>
  <w:style w:type="character" w:customStyle="1" w:styleId="48">
    <w:name w:val="标题 2 字符"/>
    <w:link w:val="3"/>
    <w:qFormat/>
    <w:uiPriority w:val="0"/>
    <w:rPr>
      <w:rFonts w:ascii="Arial" w:hAnsi="Arial" w:eastAsia="黑体"/>
      <w:b/>
      <w:bCs/>
      <w:kern w:val="2"/>
      <w:sz w:val="32"/>
      <w:szCs w:val="32"/>
    </w:rPr>
  </w:style>
  <w:style w:type="character" w:customStyle="1" w:styleId="49">
    <w:name w:val="标题 3 字符"/>
    <w:link w:val="4"/>
    <w:qFormat/>
    <w:uiPriority w:val="0"/>
    <w:rPr>
      <w:b/>
      <w:bCs/>
      <w:kern w:val="2"/>
      <w:sz w:val="32"/>
      <w:szCs w:val="32"/>
    </w:rPr>
  </w:style>
  <w:style w:type="character" w:customStyle="1" w:styleId="50">
    <w:name w:val="标题 4 字符"/>
    <w:link w:val="5"/>
    <w:qFormat/>
    <w:uiPriority w:val="0"/>
    <w:rPr>
      <w:rFonts w:ascii="Arial" w:hAnsi="Arial" w:eastAsia="黑体"/>
      <w:b/>
      <w:bCs/>
      <w:kern w:val="2"/>
      <w:sz w:val="28"/>
      <w:szCs w:val="28"/>
    </w:rPr>
  </w:style>
  <w:style w:type="character" w:customStyle="1" w:styleId="51">
    <w:name w:val="标题 5 字符"/>
    <w:link w:val="6"/>
    <w:qFormat/>
    <w:uiPriority w:val="0"/>
    <w:rPr>
      <w:b/>
      <w:bCs/>
      <w:kern w:val="2"/>
      <w:sz w:val="28"/>
      <w:szCs w:val="28"/>
    </w:rPr>
  </w:style>
  <w:style w:type="character" w:customStyle="1" w:styleId="52">
    <w:name w:val="标题 6 字符"/>
    <w:link w:val="7"/>
    <w:qFormat/>
    <w:uiPriority w:val="0"/>
    <w:rPr>
      <w:rFonts w:ascii="Arial" w:hAnsi="Arial" w:eastAsia="黑体"/>
      <w:b/>
      <w:bCs/>
      <w:kern w:val="2"/>
      <w:sz w:val="24"/>
      <w:szCs w:val="24"/>
    </w:rPr>
  </w:style>
  <w:style w:type="character" w:customStyle="1" w:styleId="53">
    <w:name w:val="标题 7 字符"/>
    <w:link w:val="8"/>
    <w:qFormat/>
    <w:uiPriority w:val="0"/>
    <w:rPr>
      <w:b/>
      <w:bCs/>
      <w:kern w:val="2"/>
      <w:sz w:val="24"/>
      <w:szCs w:val="24"/>
    </w:rPr>
  </w:style>
  <w:style w:type="character" w:customStyle="1" w:styleId="54">
    <w:name w:val="标题 8 字符"/>
    <w:link w:val="9"/>
    <w:qFormat/>
    <w:uiPriority w:val="0"/>
    <w:rPr>
      <w:rFonts w:ascii="Arial" w:hAnsi="Arial" w:eastAsia="黑体"/>
      <w:kern w:val="2"/>
      <w:sz w:val="24"/>
      <w:szCs w:val="24"/>
    </w:rPr>
  </w:style>
  <w:style w:type="character" w:customStyle="1" w:styleId="55">
    <w:name w:val="标题 9 字符"/>
    <w:link w:val="10"/>
    <w:qFormat/>
    <w:uiPriority w:val="0"/>
    <w:rPr>
      <w:rFonts w:ascii="Arial" w:hAnsi="Arial" w:eastAsia="黑体"/>
      <w:kern w:val="2"/>
      <w:sz w:val="21"/>
      <w:szCs w:val="21"/>
    </w:rPr>
  </w:style>
  <w:style w:type="character" w:customStyle="1" w:styleId="56">
    <w:name w:val="页眉 字符"/>
    <w:link w:val="18"/>
    <w:qFormat/>
    <w:uiPriority w:val="99"/>
    <w:rPr>
      <w:kern w:val="2"/>
      <w:sz w:val="18"/>
      <w:szCs w:val="18"/>
    </w:rPr>
  </w:style>
  <w:style w:type="character" w:customStyle="1" w:styleId="57">
    <w:name w:val="页脚 字符"/>
    <w:link w:val="17"/>
    <w:qFormat/>
    <w:uiPriority w:val="99"/>
    <w:rPr>
      <w:rFonts w:ascii="宋体"/>
      <w:kern w:val="2"/>
      <w:sz w:val="18"/>
      <w:szCs w:val="18"/>
    </w:rPr>
  </w:style>
  <w:style w:type="character" w:customStyle="1" w:styleId="58">
    <w:name w:val="批注框文本 字符"/>
    <w:link w:val="16"/>
    <w:semiHidden/>
    <w:qFormat/>
    <w:uiPriority w:val="99"/>
    <w:rPr>
      <w:kern w:val="2"/>
      <w:sz w:val="18"/>
      <w:szCs w:val="18"/>
    </w:rPr>
  </w:style>
  <w:style w:type="paragraph" w:styleId="59">
    <w:name w:val="Quote"/>
    <w:basedOn w:val="1"/>
    <w:next w:val="1"/>
    <w:link w:val="60"/>
    <w:qFormat/>
    <w:uiPriority w:val="29"/>
    <w:rPr>
      <w:i/>
      <w:iCs/>
      <w:color w:val="000000"/>
    </w:rPr>
  </w:style>
  <w:style w:type="character" w:customStyle="1" w:styleId="60">
    <w:name w:val="引用 字符"/>
    <w:link w:val="59"/>
    <w:qFormat/>
    <w:uiPriority w:val="29"/>
    <w:rPr>
      <w:i/>
      <w:iCs/>
      <w:color w:val="000000"/>
      <w:kern w:val="2"/>
      <w:sz w:val="21"/>
      <w:szCs w:val="21"/>
    </w:rPr>
  </w:style>
  <w:style w:type="character" w:customStyle="1" w:styleId="61">
    <w:name w:val="标题 字符"/>
    <w:link w:val="25"/>
    <w:qFormat/>
    <w:uiPriority w:val="0"/>
    <w:rPr>
      <w:rFonts w:ascii="Arial" w:hAnsi="Arial" w:cs="Arial"/>
      <w:b/>
      <w:bCs/>
      <w:kern w:val="2"/>
      <w:sz w:val="32"/>
      <w:szCs w:val="32"/>
    </w:rPr>
  </w:style>
  <w:style w:type="paragraph" w:customStyle="1" w:styleId="62">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63">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w w:val="148"/>
      <w:sz w:val="52"/>
      <w:lang w:val="en-US" w:eastAsia="zh-CN" w:bidi="ar-SA"/>
    </w:rPr>
  </w:style>
  <w:style w:type="paragraph" w:customStyle="1" w:styleId="64">
    <w:name w:val="标准文件_页脚偶数页"/>
    <w:qFormat/>
    <w:uiPriority w:val="0"/>
    <w:pPr>
      <w:ind w:left="198"/>
    </w:pPr>
    <w:rPr>
      <w:rFonts w:ascii="宋体" w:hAnsi="Times New Roman" w:eastAsia="宋体" w:cs="Times New Roman"/>
      <w:sz w:val="18"/>
      <w:lang w:val="en-US" w:eastAsia="zh-CN" w:bidi="ar-SA"/>
    </w:rPr>
  </w:style>
  <w:style w:type="paragraph" w:customStyle="1" w:styleId="65">
    <w:name w:val="标准文件_页脚奇数页"/>
    <w:qFormat/>
    <w:uiPriority w:val="0"/>
    <w:pPr>
      <w:ind w:right="227"/>
      <w:jc w:val="right"/>
    </w:pPr>
    <w:rPr>
      <w:rFonts w:ascii="宋体" w:hAnsi="Times New Roman" w:eastAsia="宋体" w:cs="Times New Roman"/>
      <w:sz w:val="18"/>
      <w:lang w:val="en-US" w:eastAsia="zh-CN" w:bidi="ar-SA"/>
    </w:rPr>
  </w:style>
  <w:style w:type="paragraph" w:customStyle="1" w:styleId="66">
    <w:name w:val="标准书眉一"/>
    <w:qFormat/>
    <w:uiPriority w:val="0"/>
    <w:pPr>
      <w:jc w:val="both"/>
    </w:pPr>
    <w:rPr>
      <w:rFonts w:ascii="Times New Roman" w:hAnsi="Times New Roman" w:eastAsia="宋体" w:cs="Times New Roman"/>
      <w:lang w:val="en-US" w:eastAsia="zh-CN" w:bidi="ar-SA"/>
    </w:rPr>
  </w:style>
  <w:style w:type="paragraph" w:customStyle="1" w:styleId="67">
    <w:name w:val="标准文件_ICS"/>
    <w:basedOn w:val="1"/>
    <w:qFormat/>
    <w:uiPriority w:val="0"/>
    <w:pPr>
      <w:spacing w:line="0" w:lineRule="atLeast"/>
    </w:pPr>
    <w:rPr>
      <w:rFonts w:ascii="黑体" w:hAnsi="宋体" w:eastAsia="黑体"/>
    </w:rPr>
  </w:style>
  <w:style w:type="paragraph" w:customStyle="1" w:styleId="68">
    <w:name w:val="标准文件_标准正文"/>
    <w:basedOn w:val="1"/>
    <w:next w:val="35"/>
    <w:qFormat/>
    <w:uiPriority w:val="0"/>
    <w:pPr>
      <w:snapToGrid w:val="0"/>
      <w:ind w:firstLine="200" w:firstLineChars="200"/>
    </w:pPr>
    <w:rPr>
      <w:kern w:val="0"/>
    </w:rPr>
  </w:style>
  <w:style w:type="paragraph" w:customStyle="1" w:styleId="69">
    <w:name w:val="标准文件_版本"/>
    <w:basedOn w:val="68"/>
    <w:qFormat/>
    <w:uiPriority w:val="0"/>
    <w:pPr>
      <w:adjustRightInd/>
      <w:snapToGrid/>
      <w:ind w:firstLine="0" w:firstLineChars="0"/>
    </w:pPr>
    <w:rPr>
      <w:rFonts w:ascii="宋体" w:hAnsi="宋体"/>
      <w:kern w:val="2"/>
    </w:rPr>
  </w:style>
  <w:style w:type="paragraph" w:customStyle="1" w:styleId="70">
    <w:name w:val="标准文件_标准部门"/>
    <w:basedOn w:val="1"/>
    <w:qFormat/>
    <w:uiPriority w:val="0"/>
    <w:pPr>
      <w:jc w:val="center"/>
    </w:pPr>
    <w:rPr>
      <w:rFonts w:ascii="黑体" w:eastAsia="黑体"/>
      <w:kern w:val="0"/>
      <w:sz w:val="44"/>
    </w:rPr>
  </w:style>
  <w:style w:type="paragraph" w:customStyle="1" w:styleId="71">
    <w:name w:val="标准文件_标准代替"/>
    <w:basedOn w:val="1"/>
    <w:next w:val="1"/>
    <w:qFormat/>
    <w:uiPriority w:val="0"/>
    <w:pPr>
      <w:spacing w:line="310" w:lineRule="exact"/>
      <w:jc w:val="right"/>
    </w:pPr>
    <w:rPr>
      <w:rFonts w:ascii="宋体" w:hAnsi="宋体"/>
      <w:kern w:val="0"/>
    </w:rPr>
  </w:style>
  <w:style w:type="paragraph" w:customStyle="1" w:styleId="72">
    <w:name w:val="标准文件_标准名称标题"/>
    <w:basedOn w:val="1"/>
    <w:next w:val="1"/>
    <w:qFormat/>
    <w:uiPriority w:val="0"/>
    <w:pPr>
      <w:widowControl/>
      <w:shd w:val="clear" w:color="FFFFFF" w:fill="FFFFFF"/>
      <w:adjustRightInd/>
      <w:spacing w:before="640" w:after="100"/>
      <w:jc w:val="center"/>
    </w:pPr>
    <w:rPr>
      <w:rFonts w:ascii="黑体" w:eastAsia="黑体"/>
      <w:kern w:val="0"/>
      <w:sz w:val="32"/>
    </w:rPr>
  </w:style>
  <w:style w:type="paragraph" w:customStyle="1" w:styleId="73">
    <w:name w:val="标准文件_页眉奇数页"/>
    <w:next w:val="1"/>
    <w:qFormat/>
    <w:uiPriority w:val="0"/>
    <w:pPr>
      <w:tabs>
        <w:tab w:val="center" w:pos="4154"/>
        <w:tab w:val="right" w:pos="8306"/>
      </w:tabs>
      <w:spacing w:after="120"/>
      <w:jc w:val="right"/>
    </w:pPr>
    <w:rPr>
      <w:rFonts w:ascii="黑体" w:hAnsi="宋体" w:eastAsia="黑体" w:cs="Times New Roman"/>
      <w:sz w:val="21"/>
      <w:lang w:val="en-US" w:eastAsia="zh-CN" w:bidi="ar-SA"/>
    </w:rPr>
  </w:style>
  <w:style w:type="paragraph" w:customStyle="1" w:styleId="74">
    <w:name w:val="标准文件_页眉偶数页"/>
    <w:basedOn w:val="73"/>
    <w:next w:val="1"/>
    <w:qFormat/>
    <w:uiPriority w:val="0"/>
    <w:pPr>
      <w:jc w:val="left"/>
    </w:pPr>
  </w:style>
  <w:style w:type="paragraph" w:customStyle="1" w:styleId="75">
    <w:name w:val="标准文件_参考文献标题"/>
    <w:basedOn w:val="1"/>
    <w:next w:val="1"/>
    <w:qFormat/>
    <w:uiPriority w:val="0"/>
    <w:pPr>
      <w:widowControl/>
      <w:shd w:val="clear" w:color="FFFFFF" w:fill="FFFFFF"/>
      <w:adjustRightInd/>
      <w:spacing w:before="560" w:after="50" w:afterLines="50" w:line="240" w:lineRule="auto"/>
      <w:jc w:val="center"/>
      <w:outlineLvl w:val="0"/>
    </w:pPr>
    <w:rPr>
      <w:rFonts w:ascii="黑体" w:eastAsia="黑体"/>
      <w:kern w:val="0"/>
    </w:rPr>
  </w:style>
  <w:style w:type="paragraph" w:customStyle="1" w:styleId="76">
    <w:name w:val="标准文件_参考文献条目"/>
    <w:qFormat/>
    <w:uiPriority w:val="0"/>
    <w:pPr>
      <w:numPr>
        <w:ilvl w:val="0"/>
        <w:numId w:val="3"/>
      </w:numPr>
    </w:pPr>
    <w:rPr>
      <w:rFonts w:ascii="宋体" w:hAnsi="Times New Roman" w:eastAsia="宋体" w:cs="Times New Roman"/>
      <w:lang w:val="en-US" w:eastAsia="zh-CN" w:bidi="ar-SA"/>
    </w:rPr>
  </w:style>
  <w:style w:type="character" w:customStyle="1" w:styleId="77">
    <w:name w:val="标准文件_发布"/>
    <w:qFormat/>
    <w:uiPriority w:val="0"/>
    <w:rPr>
      <w:rFonts w:ascii="黑体" w:eastAsia="黑体"/>
      <w:spacing w:val="0"/>
      <w:w w:val="100"/>
      <w:position w:val="3"/>
      <w:sz w:val="28"/>
    </w:rPr>
  </w:style>
  <w:style w:type="paragraph" w:customStyle="1" w:styleId="78">
    <w:name w:val="标准文件_方框数字列项"/>
    <w:basedOn w:val="35"/>
    <w:qFormat/>
    <w:uiPriority w:val="0"/>
    <w:pPr>
      <w:numPr>
        <w:ilvl w:val="0"/>
        <w:numId w:val="4"/>
      </w:numPr>
      <w:ind w:firstLine="0" w:firstLineChars="0"/>
    </w:pPr>
  </w:style>
  <w:style w:type="paragraph" w:customStyle="1" w:styleId="79">
    <w:name w:val="标准文件_封面标准编号"/>
    <w:basedOn w:val="1"/>
    <w:next w:val="71"/>
    <w:qFormat/>
    <w:uiPriority w:val="0"/>
    <w:pPr>
      <w:spacing w:line="310" w:lineRule="exact"/>
      <w:jc w:val="right"/>
    </w:pPr>
    <w:rPr>
      <w:rFonts w:ascii="黑体" w:eastAsia="黑体"/>
      <w:kern w:val="0"/>
      <w:sz w:val="28"/>
    </w:rPr>
  </w:style>
  <w:style w:type="paragraph" w:customStyle="1" w:styleId="80">
    <w:name w:val="标准文件_封面标准分类号"/>
    <w:basedOn w:val="1"/>
    <w:qFormat/>
    <w:uiPriority w:val="0"/>
    <w:rPr>
      <w:rFonts w:ascii="黑体" w:eastAsia="黑体"/>
      <w:b/>
      <w:kern w:val="0"/>
      <w:sz w:val="28"/>
    </w:rPr>
  </w:style>
  <w:style w:type="paragraph" w:customStyle="1" w:styleId="81">
    <w:name w:val="标准文件_封面标准名称"/>
    <w:basedOn w:val="1"/>
    <w:qFormat/>
    <w:uiPriority w:val="0"/>
    <w:pPr>
      <w:spacing w:line="240" w:lineRule="auto"/>
      <w:jc w:val="center"/>
    </w:pPr>
    <w:rPr>
      <w:rFonts w:ascii="黑体" w:eastAsia="黑体"/>
      <w:kern w:val="0"/>
      <w:sz w:val="52"/>
    </w:rPr>
  </w:style>
  <w:style w:type="paragraph" w:customStyle="1" w:styleId="82">
    <w:name w:val="标准文件_封面标准英文名称"/>
    <w:basedOn w:val="1"/>
    <w:qFormat/>
    <w:uiPriority w:val="0"/>
    <w:pPr>
      <w:spacing w:line="240" w:lineRule="auto"/>
      <w:jc w:val="center"/>
    </w:pPr>
    <w:rPr>
      <w:rFonts w:ascii="黑体" w:eastAsia="黑体"/>
      <w:b/>
      <w:sz w:val="28"/>
    </w:rPr>
  </w:style>
  <w:style w:type="paragraph" w:customStyle="1" w:styleId="83">
    <w:name w:val="标准文件_封面发布日期"/>
    <w:basedOn w:val="1"/>
    <w:qFormat/>
    <w:uiPriority w:val="0"/>
    <w:pPr>
      <w:spacing w:line="310" w:lineRule="exact"/>
    </w:pPr>
    <w:rPr>
      <w:rFonts w:ascii="黑体" w:eastAsia="黑体"/>
      <w:kern w:val="0"/>
      <w:sz w:val="28"/>
    </w:rPr>
  </w:style>
  <w:style w:type="paragraph" w:customStyle="1" w:styleId="84">
    <w:name w:val="标准文件_封面密级"/>
    <w:basedOn w:val="1"/>
    <w:qFormat/>
    <w:uiPriority w:val="0"/>
    <w:rPr>
      <w:rFonts w:eastAsia="黑体"/>
      <w:sz w:val="32"/>
    </w:rPr>
  </w:style>
  <w:style w:type="paragraph" w:customStyle="1" w:styleId="85">
    <w:name w:val="标准文件_封面实施日期"/>
    <w:basedOn w:val="1"/>
    <w:qFormat/>
    <w:uiPriority w:val="0"/>
    <w:pPr>
      <w:spacing w:line="310" w:lineRule="exact"/>
      <w:jc w:val="right"/>
    </w:pPr>
    <w:rPr>
      <w:rFonts w:ascii="黑体" w:eastAsia="黑体"/>
      <w:sz w:val="28"/>
    </w:rPr>
  </w:style>
  <w:style w:type="paragraph" w:customStyle="1" w:styleId="86">
    <w:name w:val="标准文件_封面抬头"/>
    <w:basedOn w:val="35"/>
    <w:qFormat/>
    <w:uiPriority w:val="0"/>
    <w:pPr>
      <w:adjustRightInd w:val="0"/>
      <w:spacing w:line="800" w:lineRule="exact"/>
      <w:ind w:firstLine="0" w:firstLineChars="0"/>
      <w:jc w:val="distribute"/>
    </w:pPr>
    <w:rPr>
      <w:rFonts w:ascii="黑体" w:eastAsia="黑体"/>
      <w:b/>
      <w:sz w:val="64"/>
    </w:rPr>
  </w:style>
  <w:style w:type="paragraph" w:customStyle="1" w:styleId="87">
    <w:name w:val="标准文件_附录标识"/>
    <w:next w:val="35"/>
    <w:qFormat/>
    <w:uiPriority w:val="0"/>
    <w:pPr>
      <w:numPr>
        <w:ilvl w:val="0"/>
        <w:numId w:val="5"/>
      </w:numPr>
      <w:shd w:val="clear" w:color="FFFFFF" w:fill="FFFFFF"/>
      <w:tabs>
        <w:tab w:val="left" w:pos="6406"/>
      </w:tabs>
      <w:spacing w:before="560" w:after="50" w:afterLines="50"/>
      <w:jc w:val="center"/>
      <w:outlineLvl w:val="0"/>
    </w:pPr>
    <w:rPr>
      <w:rFonts w:ascii="黑体" w:hAnsi="Times New Roman" w:eastAsia="黑体" w:cs="Times New Roman"/>
      <w:sz w:val="21"/>
      <w:lang w:val="en-US" w:eastAsia="zh-CN" w:bidi="ar-SA"/>
    </w:rPr>
  </w:style>
  <w:style w:type="paragraph" w:customStyle="1" w:styleId="88">
    <w:name w:val="标准文件_附录表标题"/>
    <w:next w:val="35"/>
    <w:qFormat/>
    <w:uiPriority w:val="0"/>
    <w:pPr>
      <w:numPr>
        <w:ilvl w:val="1"/>
        <w:numId w:val="6"/>
      </w:numPr>
      <w:adjustRightInd w:val="0"/>
      <w:snapToGrid w:val="0"/>
      <w:spacing w:before="50" w:beforeLines="50" w:after="50" w:afterLines="50"/>
      <w:jc w:val="center"/>
      <w:textAlignment w:val="baseline"/>
    </w:pPr>
    <w:rPr>
      <w:rFonts w:ascii="黑体" w:hAnsi="Times New Roman" w:eastAsia="黑体" w:cs="Times New Roman"/>
      <w:kern w:val="21"/>
      <w:sz w:val="21"/>
      <w:lang w:val="en-US" w:eastAsia="zh-CN" w:bidi="ar-SA"/>
    </w:rPr>
  </w:style>
  <w:style w:type="paragraph" w:customStyle="1" w:styleId="89">
    <w:name w:val="标准文件_附录一级条标题"/>
    <w:next w:val="35"/>
    <w:qFormat/>
    <w:uiPriority w:val="0"/>
    <w:pPr>
      <w:widowControl w:val="0"/>
      <w:numPr>
        <w:ilvl w:val="1"/>
        <w:numId w:val="5"/>
      </w:numPr>
      <w:spacing w:before="50" w:beforeLines="50" w:after="50" w:afterLines="50"/>
      <w:jc w:val="both"/>
      <w:outlineLvl w:val="2"/>
    </w:pPr>
    <w:rPr>
      <w:rFonts w:ascii="黑体" w:hAnsi="Times New Roman" w:eastAsia="黑体" w:cs="Times New Roman"/>
      <w:kern w:val="21"/>
      <w:sz w:val="21"/>
      <w:lang w:val="en-US" w:eastAsia="zh-CN" w:bidi="ar-SA"/>
    </w:rPr>
  </w:style>
  <w:style w:type="paragraph" w:customStyle="1" w:styleId="90">
    <w:name w:val="标准文件_附录二级条标题"/>
    <w:basedOn w:val="89"/>
    <w:next w:val="35"/>
    <w:qFormat/>
    <w:uiPriority w:val="0"/>
    <w:pPr>
      <w:widowControl/>
      <w:numPr>
        <w:ilvl w:val="2"/>
      </w:numPr>
      <w:wordWrap w:val="0"/>
      <w:overflowPunct w:val="0"/>
      <w:autoSpaceDE w:val="0"/>
      <w:autoSpaceDN w:val="0"/>
      <w:textAlignment w:val="baseline"/>
      <w:outlineLvl w:val="3"/>
    </w:pPr>
  </w:style>
  <w:style w:type="paragraph" w:customStyle="1" w:styleId="91">
    <w:name w:val="标准文件_附录公式"/>
    <w:basedOn w:val="68"/>
    <w:next w:val="68"/>
    <w:qFormat/>
    <w:uiPriority w:val="0"/>
    <w:pPr>
      <w:tabs>
        <w:tab w:val="center" w:pos="4678"/>
        <w:tab w:val="right" w:leader="middleDot" w:pos="9356"/>
      </w:tabs>
      <w:spacing w:line="240" w:lineRule="auto"/>
      <w:ind w:right="-51" w:firstLine="0" w:firstLineChars="0"/>
    </w:pPr>
    <w:rPr>
      <w:rFonts w:ascii="宋体" w:hAnsi="宋体"/>
    </w:rPr>
  </w:style>
  <w:style w:type="paragraph" w:customStyle="1" w:styleId="92">
    <w:name w:val="标准文件_附录三级条标题"/>
    <w:next w:val="35"/>
    <w:qFormat/>
    <w:uiPriority w:val="0"/>
    <w:pPr>
      <w:widowControl w:val="0"/>
      <w:numPr>
        <w:ilvl w:val="3"/>
        <w:numId w:val="5"/>
      </w:numPr>
      <w:spacing w:before="50" w:beforeLines="50" w:after="50" w:afterLines="50"/>
      <w:jc w:val="both"/>
      <w:outlineLvl w:val="4"/>
    </w:pPr>
    <w:rPr>
      <w:rFonts w:ascii="黑体" w:hAnsi="Times New Roman" w:eastAsia="黑体" w:cs="Times New Roman"/>
      <w:kern w:val="21"/>
      <w:sz w:val="21"/>
      <w:lang w:val="en-US" w:eastAsia="zh-CN" w:bidi="ar-SA"/>
    </w:rPr>
  </w:style>
  <w:style w:type="paragraph" w:customStyle="1" w:styleId="93">
    <w:name w:val="标准文件_附录四级条标题"/>
    <w:next w:val="35"/>
    <w:qFormat/>
    <w:uiPriority w:val="0"/>
    <w:pPr>
      <w:widowControl w:val="0"/>
      <w:numPr>
        <w:ilvl w:val="4"/>
        <w:numId w:val="5"/>
      </w:numPr>
      <w:spacing w:before="50" w:beforeLines="50" w:after="50" w:afterLines="50"/>
      <w:jc w:val="both"/>
      <w:outlineLvl w:val="5"/>
    </w:pPr>
    <w:rPr>
      <w:rFonts w:ascii="黑体" w:hAnsi="Times New Roman" w:eastAsia="黑体" w:cs="Times New Roman"/>
      <w:kern w:val="21"/>
      <w:sz w:val="21"/>
      <w:lang w:val="en-US" w:eastAsia="zh-CN" w:bidi="ar-SA"/>
    </w:rPr>
  </w:style>
  <w:style w:type="paragraph" w:customStyle="1" w:styleId="94">
    <w:name w:val="标准文件_附录图标题"/>
    <w:next w:val="35"/>
    <w:qFormat/>
    <w:uiPriority w:val="0"/>
    <w:pPr>
      <w:numPr>
        <w:ilvl w:val="1"/>
        <w:numId w:val="7"/>
      </w:numPr>
      <w:adjustRightInd w:val="0"/>
      <w:snapToGrid w:val="0"/>
      <w:spacing w:before="50" w:beforeLines="50" w:after="50" w:afterLines="50"/>
      <w:jc w:val="center"/>
    </w:pPr>
    <w:rPr>
      <w:rFonts w:ascii="黑体" w:hAnsi="Times New Roman" w:eastAsia="黑体" w:cs="Times New Roman"/>
      <w:sz w:val="21"/>
      <w:lang w:val="en-US" w:eastAsia="zh-CN" w:bidi="ar-SA"/>
    </w:rPr>
  </w:style>
  <w:style w:type="paragraph" w:customStyle="1" w:styleId="95">
    <w:name w:val="标准文件_附录五级条标题"/>
    <w:next w:val="35"/>
    <w:qFormat/>
    <w:uiPriority w:val="0"/>
    <w:pPr>
      <w:widowControl w:val="0"/>
      <w:numPr>
        <w:ilvl w:val="5"/>
        <w:numId w:val="5"/>
      </w:numPr>
      <w:spacing w:before="50" w:beforeLines="50" w:after="50" w:afterLines="50"/>
      <w:jc w:val="both"/>
      <w:outlineLvl w:val="6"/>
    </w:pPr>
    <w:rPr>
      <w:rFonts w:ascii="黑体" w:hAnsi="Times New Roman" w:eastAsia="黑体" w:cs="Times New Roman"/>
      <w:kern w:val="21"/>
      <w:sz w:val="21"/>
      <w:lang w:val="en-US" w:eastAsia="zh-CN" w:bidi="ar-SA"/>
    </w:rPr>
  </w:style>
  <w:style w:type="paragraph" w:customStyle="1" w:styleId="96">
    <w:name w:val="标准文件_附录英文标识"/>
    <w:next w:val="13"/>
    <w:qFormat/>
    <w:uiPriority w:val="0"/>
    <w:pPr>
      <w:numPr>
        <w:ilvl w:val="0"/>
        <w:numId w:val="8"/>
      </w:numPr>
      <w:tabs>
        <w:tab w:val="left" w:pos="6406"/>
      </w:tabs>
      <w:spacing w:before="220" w:after="320"/>
      <w:jc w:val="center"/>
      <w:outlineLvl w:val="0"/>
    </w:pPr>
    <w:rPr>
      <w:rFonts w:ascii="黑体" w:hAnsi="Times New Roman" w:eastAsia="黑体" w:cs="Times New Roman"/>
      <w:sz w:val="21"/>
      <w:lang w:val="en-US" w:eastAsia="zh-CN" w:bidi="ar-SA"/>
    </w:rPr>
  </w:style>
  <w:style w:type="character" w:customStyle="1" w:styleId="97">
    <w:name w:val="正文文本 字符"/>
    <w:link w:val="13"/>
    <w:qFormat/>
    <w:uiPriority w:val="0"/>
    <w:rPr>
      <w:kern w:val="2"/>
      <w:sz w:val="21"/>
      <w:szCs w:val="21"/>
    </w:rPr>
  </w:style>
  <w:style w:type="paragraph" w:customStyle="1" w:styleId="98">
    <w:name w:val="标准文件_附录章标题"/>
    <w:next w:val="35"/>
    <w:qFormat/>
    <w:uiPriority w:val="0"/>
    <w:pPr>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99">
    <w:name w:val="标准文件_公式后的破折号"/>
    <w:basedOn w:val="35"/>
    <w:next w:val="35"/>
    <w:qFormat/>
    <w:uiPriority w:val="0"/>
    <w:pPr>
      <w:ind w:left="488" w:leftChars="200" w:hanging="289" w:hangingChars="290"/>
    </w:pPr>
  </w:style>
  <w:style w:type="paragraph" w:customStyle="1" w:styleId="100">
    <w:name w:val="标准文件_前言、引言标题"/>
    <w:next w:val="1"/>
    <w:qFormat/>
    <w:uiPriority w:val="0"/>
    <w:pPr>
      <w:numPr>
        <w:ilvl w:val="0"/>
        <w:numId w:val="1"/>
      </w:numPr>
      <w:shd w:val="clear" w:color="FFFFFF" w:fill="FFFFFF"/>
      <w:spacing w:before="480" w:after="150" w:afterLines="150"/>
      <w:jc w:val="center"/>
      <w:outlineLvl w:val="0"/>
    </w:pPr>
    <w:rPr>
      <w:rFonts w:ascii="黑体" w:hAnsi="Times New Roman" w:eastAsia="黑体" w:cs="Times New Roman"/>
      <w:sz w:val="32"/>
      <w:lang w:val="en-US" w:eastAsia="zh-CN" w:bidi="ar-SA"/>
    </w:rPr>
  </w:style>
  <w:style w:type="paragraph" w:customStyle="1" w:styleId="101">
    <w:name w:val="标准文件_目次、标准名称标题"/>
    <w:basedOn w:val="100"/>
    <w:next w:val="35"/>
    <w:qFormat/>
    <w:uiPriority w:val="0"/>
    <w:pPr>
      <w:spacing w:line="460" w:lineRule="exact"/>
      <w:ind w:left="0" w:firstLine="0"/>
    </w:pPr>
  </w:style>
  <w:style w:type="paragraph" w:customStyle="1" w:styleId="102">
    <w:name w:val="标准文件_目录标题"/>
    <w:basedOn w:val="1"/>
    <w:qFormat/>
    <w:uiPriority w:val="0"/>
    <w:pPr>
      <w:spacing w:before="480" w:after="150" w:afterLines="150" w:line="240" w:lineRule="auto"/>
      <w:jc w:val="center"/>
    </w:pPr>
    <w:rPr>
      <w:rFonts w:ascii="黑体" w:eastAsia="黑体"/>
      <w:sz w:val="32"/>
    </w:rPr>
  </w:style>
  <w:style w:type="paragraph" w:customStyle="1" w:styleId="103">
    <w:name w:val="标准文件_破折号列项"/>
    <w:qFormat/>
    <w:uiPriority w:val="0"/>
    <w:pPr>
      <w:numPr>
        <w:ilvl w:val="0"/>
        <w:numId w:val="9"/>
      </w:numPr>
      <w:adjustRightInd w:val="0"/>
      <w:snapToGrid w:val="0"/>
      <w:ind w:firstLine="200" w:firstLineChars="200"/>
    </w:pPr>
    <w:rPr>
      <w:rFonts w:ascii="Times New Roman" w:hAnsi="Times New Roman" w:eastAsia="宋体" w:cs="Times New Roman"/>
      <w:sz w:val="21"/>
      <w:lang w:val="en-US" w:eastAsia="zh-CN" w:bidi="ar-SA"/>
    </w:rPr>
  </w:style>
  <w:style w:type="paragraph" w:customStyle="1" w:styleId="104">
    <w:name w:val="标准文件_破折号列项（二级）"/>
    <w:basedOn w:val="103"/>
    <w:qFormat/>
    <w:uiPriority w:val="0"/>
    <w:pPr>
      <w:numPr>
        <w:numId w:val="10"/>
      </w:numPr>
    </w:pPr>
  </w:style>
  <w:style w:type="character" w:customStyle="1" w:styleId="105">
    <w:name w:val="不明显参考1"/>
    <w:qFormat/>
    <w:uiPriority w:val="31"/>
    <w:rPr>
      <w:smallCaps/>
      <w:color w:val="C0504D"/>
      <w:u w:val="single"/>
    </w:rPr>
  </w:style>
  <w:style w:type="paragraph" w:customStyle="1" w:styleId="106">
    <w:name w:val="标准文件_示例后续"/>
    <w:basedOn w:val="1"/>
    <w:qFormat/>
    <w:uiPriority w:val="0"/>
    <w:pPr>
      <w:adjustRightInd/>
      <w:spacing w:line="240" w:lineRule="auto"/>
      <w:ind w:firstLine="200" w:firstLineChars="200"/>
    </w:pPr>
    <w:rPr>
      <w:sz w:val="18"/>
      <w:szCs w:val="24"/>
    </w:rPr>
  </w:style>
  <w:style w:type="paragraph" w:customStyle="1" w:styleId="107">
    <w:name w:val="标准文件_数字编号列项"/>
    <w:qFormat/>
    <w:uiPriority w:val="0"/>
    <w:pPr>
      <w:numPr>
        <w:ilvl w:val="0"/>
        <w:numId w:val="11"/>
      </w:numPr>
      <w:jc w:val="both"/>
    </w:pPr>
    <w:rPr>
      <w:rFonts w:ascii="宋体" w:hAnsi="宋体" w:eastAsia="宋体" w:cs="Times New Roman"/>
      <w:sz w:val="21"/>
      <w:lang w:val="en-US" w:eastAsia="zh-CN" w:bidi="ar-SA"/>
    </w:rPr>
  </w:style>
  <w:style w:type="character" w:customStyle="1" w:styleId="108">
    <w:name w:val="脚注文本 字符"/>
    <w:link w:val="21"/>
    <w:semiHidden/>
    <w:qFormat/>
    <w:uiPriority w:val="0"/>
    <w:rPr>
      <w:rFonts w:ascii="宋体"/>
      <w:kern w:val="2"/>
      <w:sz w:val="18"/>
      <w:szCs w:val="18"/>
    </w:rPr>
  </w:style>
  <w:style w:type="paragraph" w:customStyle="1" w:styleId="109">
    <w:name w:val="标准文件_条文脚注"/>
    <w:basedOn w:val="21"/>
    <w:qFormat/>
    <w:uiPriority w:val="0"/>
    <w:pPr>
      <w:adjustRightInd w:val="0"/>
      <w:spacing w:line="240" w:lineRule="auto"/>
      <w:ind w:left="0" w:leftChars="0" w:firstLine="200" w:firstLineChars="200"/>
      <w:jc w:val="both"/>
    </w:pPr>
    <w:rPr>
      <w:rFonts w:hAnsi="宋体"/>
    </w:rPr>
  </w:style>
  <w:style w:type="paragraph" w:customStyle="1" w:styleId="110">
    <w:name w:val="标准文件_图表脚注"/>
    <w:basedOn w:val="1"/>
    <w:next w:val="35"/>
    <w:qFormat/>
    <w:uiPriority w:val="0"/>
    <w:pPr>
      <w:numPr>
        <w:ilvl w:val="0"/>
        <w:numId w:val="12"/>
      </w:numPr>
      <w:spacing w:line="240" w:lineRule="auto"/>
      <w:jc w:val="left"/>
    </w:pPr>
    <w:rPr>
      <w:rFonts w:ascii="宋体" w:hAnsi="宋体"/>
      <w:sz w:val="18"/>
    </w:rPr>
  </w:style>
  <w:style w:type="character" w:customStyle="1" w:styleId="111">
    <w:name w:val="标准文件_图表脚注内容"/>
    <w:qFormat/>
    <w:uiPriority w:val="0"/>
    <w:rPr>
      <w:rFonts w:ascii="宋体" w:hAnsi="宋体" w:eastAsia="宋体" w:cs="Times New Roman"/>
      <w:spacing w:val="0"/>
      <w:sz w:val="18"/>
      <w:vertAlign w:val="superscript"/>
    </w:rPr>
  </w:style>
  <w:style w:type="paragraph" w:customStyle="1" w:styleId="112">
    <w:name w:val="标准文件_一致程度"/>
    <w:basedOn w:val="1"/>
    <w:qFormat/>
    <w:uiPriority w:val="0"/>
    <w:pPr>
      <w:spacing w:line="440" w:lineRule="exact"/>
      <w:jc w:val="center"/>
    </w:pPr>
    <w:rPr>
      <w:sz w:val="28"/>
    </w:rPr>
  </w:style>
  <w:style w:type="paragraph" w:customStyle="1" w:styleId="113">
    <w:name w:val="标准文件_引言标题"/>
    <w:next w:val="1"/>
    <w:qFormat/>
    <w:uiPriority w:val="0"/>
    <w:p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14">
    <w:name w:val="标准文件_英文图表脚注"/>
    <w:basedOn w:val="68"/>
    <w:qFormat/>
    <w:uiPriority w:val="0"/>
    <w:pPr>
      <w:widowControl/>
      <w:adjustRightInd/>
      <w:snapToGrid/>
      <w:spacing w:line="240" w:lineRule="auto"/>
      <w:ind w:left="79" w:hanging="79" w:hangingChars="80"/>
    </w:pPr>
    <w:rPr>
      <w:rFonts w:ascii="宋体" w:hAnsi="宋体"/>
    </w:rPr>
  </w:style>
  <w:style w:type="paragraph" w:customStyle="1" w:styleId="115">
    <w:name w:val="标准文件_数字编号列项（二级）"/>
    <w:qFormat/>
    <w:uiPriority w:val="0"/>
    <w:pPr>
      <w:numPr>
        <w:ilvl w:val="1"/>
        <w:numId w:val="13"/>
      </w:numPr>
      <w:jc w:val="both"/>
    </w:pPr>
    <w:rPr>
      <w:rFonts w:ascii="宋体" w:hAnsi="Times New Roman" w:eastAsia="宋体" w:cs="Times New Roman"/>
      <w:sz w:val="21"/>
      <w:lang w:val="en-US" w:eastAsia="zh-CN" w:bidi="ar-SA"/>
    </w:rPr>
  </w:style>
  <w:style w:type="paragraph" w:customStyle="1" w:styleId="116">
    <w:name w:val="标准文件_英文注："/>
    <w:basedOn w:val="1"/>
    <w:next w:val="35"/>
    <w:qFormat/>
    <w:uiPriority w:val="0"/>
    <w:pPr>
      <w:numPr>
        <w:ilvl w:val="0"/>
        <w:numId w:val="14"/>
      </w:numPr>
      <w:tabs>
        <w:tab w:val="left" w:pos="420"/>
      </w:tabs>
      <w:autoSpaceDE w:val="0"/>
      <w:autoSpaceDN w:val="0"/>
      <w:spacing w:line="240" w:lineRule="auto"/>
    </w:pPr>
    <w:rPr>
      <w:rFonts w:ascii="宋体" w:hAnsi="宋体"/>
      <w:kern w:val="0"/>
      <w:sz w:val="18"/>
      <w:szCs w:val="20"/>
    </w:rPr>
  </w:style>
  <w:style w:type="paragraph" w:customStyle="1" w:styleId="117">
    <w:name w:val="标准文件_英文注×："/>
    <w:basedOn w:val="1"/>
    <w:qFormat/>
    <w:uiPriority w:val="0"/>
    <w:pPr>
      <w:numPr>
        <w:ilvl w:val="0"/>
        <w:numId w:val="15"/>
      </w:numPr>
      <w:tabs>
        <w:tab w:val="left" w:pos="210"/>
      </w:tabs>
      <w:autoSpaceDE w:val="0"/>
      <w:autoSpaceDN w:val="0"/>
      <w:spacing w:line="240" w:lineRule="auto"/>
    </w:pPr>
    <w:rPr>
      <w:rFonts w:ascii="宋体" w:hAnsi="宋体"/>
      <w:kern w:val="0"/>
      <w:szCs w:val="20"/>
    </w:rPr>
  </w:style>
  <w:style w:type="paragraph" w:customStyle="1" w:styleId="118">
    <w:name w:val="标准文件_正文表标题"/>
    <w:next w:val="35"/>
    <w:qFormat/>
    <w:uiPriority w:val="0"/>
    <w:pPr>
      <w:numPr>
        <w:ilvl w:val="0"/>
        <w:numId w:val="16"/>
      </w:numPr>
      <w:tabs>
        <w:tab w:val="left" w:pos="0"/>
      </w:tabs>
      <w:spacing w:before="50" w:beforeLines="50" w:after="50" w:afterLines="50"/>
      <w:jc w:val="center"/>
    </w:pPr>
    <w:rPr>
      <w:rFonts w:ascii="黑体" w:hAnsi="Times New Roman" w:eastAsia="黑体" w:cs="Times New Roman"/>
      <w:sz w:val="21"/>
      <w:lang w:val="en-US" w:eastAsia="zh-CN" w:bidi="ar-SA"/>
    </w:rPr>
  </w:style>
  <w:style w:type="paragraph" w:customStyle="1" w:styleId="119">
    <w:name w:val="标准文件_正文公式"/>
    <w:basedOn w:val="1"/>
    <w:next w:val="68"/>
    <w:qFormat/>
    <w:uiPriority w:val="0"/>
    <w:pPr>
      <w:tabs>
        <w:tab w:val="center" w:pos="4678"/>
        <w:tab w:val="right" w:leader="middleDot" w:pos="9356"/>
      </w:tabs>
      <w:spacing w:line="240" w:lineRule="auto"/>
    </w:pPr>
    <w:rPr>
      <w:rFonts w:ascii="宋体" w:hAnsi="宋体"/>
    </w:rPr>
  </w:style>
  <w:style w:type="paragraph" w:customStyle="1" w:styleId="120">
    <w:name w:val="标准文件_正文图标题"/>
    <w:next w:val="35"/>
    <w:qFormat/>
    <w:uiPriority w:val="0"/>
    <w:pPr>
      <w:numPr>
        <w:ilvl w:val="0"/>
        <w:numId w:val="17"/>
      </w:numPr>
      <w:spacing w:before="50" w:beforeLines="50" w:after="50" w:afterLines="50"/>
      <w:jc w:val="center"/>
    </w:pPr>
    <w:rPr>
      <w:rFonts w:ascii="黑体" w:hAnsi="Times New Roman" w:eastAsia="黑体" w:cs="Times New Roman"/>
      <w:sz w:val="21"/>
      <w:lang w:val="en-US" w:eastAsia="zh-CN" w:bidi="ar-SA"/>
    </w:rPr>
  </w:style>
  <w:style w:type="paragraph" w:customStyle="1" w:styleId="121">
    <w:name w:val="标准文件_正文英文表标题"/>
    <w:next w:val="35"/>
    <w:qFormat/>
    <w:uiPriority w:val="0"/>
    <w:pPr>
      <w:numPr>
        <w:ilvl w:val="0"/>
        <w:numId w:val="18"/>
      </w:numPr>
      <w:jc w:val="center"/>
    </w:pPr>
    <w:rPr>
      <w:rFonts w:ascii="黑体" w:hAnsi="Times New Roman" w:eastAsia="黑体" w:cs="Times New Roman"/>
      <w:sz w:val="21"/>
      <w:lang w:val="en-US" w:eastAsia="zh-CN" w:bidi="ar-SA"/>
    </w:rPr>
  </w:style>
  <w:style w:type="paragraph" w:customStyle="1" w:styleId="122">
    <w:name w:val="标准文件_正文英文图标题"/>
    <w:next w:val="35"/>
    <w:qFormat/>
    <w:uiPriority w:val="0"/>
    <w:pPr>
      <w:numPr>
        <w:ilvl w:val="0"/>
        <w:numId w:val="19"/>
      </w:numPr>
      <w:jc w:val="center"/>
    </w:pPr>
    <w:rPr>
      <w:rFonts w:ascii="黑体" w:hAnsi="Times New Roman" w:eastAsia="黑体" w:cs="Times New Roman"/>
      <w:sz w:val="21"/>
      <w:lang w:val="en-US" w:eastAsia="zh-CN" w:bidi="ar-SA"/>
    </w:rPr>
  </w:style>
  <w:style w:type="paragraph" w:customStyle="1" w:styleId="123">
    <w:name w:val="标准文件_编号列项（三级）"/>
    <w:qFormat/>
    <w:uiPriority w:val="0"/>
    <w:pPr>
      <w:numPr>
        <w:ilvl w:val="2"/>
        <w:numId w:val="13"/>
      </w:numPr>
    </w:pPr>
    <w:rPr>
      <w:rFonts w:ascii="宋体" w:hAnsi="Times New Roman" w:eastAsia="宋体" w:cs="Times New Roman"/>
      <w:sz w:val="21"/>
      <w:lang w:val="en-US" w:eastAsia="zh-CN" w:bidi="ar-SA"/>
    </w:rPr>
  </w:style>
  <w:style w:type="paragraph" w:customStyle="1" w:styleId="124">
    <w:name w:val="二级无标题条"/>
    <w:basedOn w:val="1"/>
    <w:qFormat/>
    <w:uiPriority w:val="0"/>
    <w:pPr>
      <w:numPr>
        <w:ilvl w:val="3"/>
        <w:numId w:val="20"/>
      </w:numPr>
      <w:adjustRightInd/>
      <w:spacing w:line="240" w:lineRule="auto"/>
    </w:pPr>
    <w:rPr>
      <w:rFonts w:ascii="宋体" w:hAnsi="宋体"/>
      <w:szCs w:val="24"/>
    </w:rPr>
  </w:style>
  <w:style w:type="paragraph" w:customStyle="1" w:styleId="125">
    <w:name w:val="发布部门"/>
    <w:next w:val="35"/>
    <w:qFormat/>
    <w:uiPriority w:val="0"/>
    <w:pPr>
      <w:framePr w:w="7433" w:h="585" w:hRule="exact" w:hSpace="180" w:vSpace="180" w:wrap="around" w:vAnchor="margin" w:hAnchor="margin" w:xAlign="center" w:y="14401" w:anchorLock="1"/>
      <w:jc w:val="center"/>
    </w:pPr>
    <w:rPr>
      <w:rFonts w:ascii="宋体" w:hAnsi="Times New Roman" w:eastAsia="宋体" w:cs="Times New Roman"/>
      <w:b/>
      <w:w w:val="135"/>
      <w:sz w:val="36"/>
      <w:lang w:val="en-US" w:eastAsia="zh-CN" w:bidi="ar-SA"/>
    </w:rPr>
  </w:style>
  <w:style w:type="paragraph" w:customStyle="1" w:styleId="126">
    <w:name w:val="发布日期"/>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127">
    <w:name w:val="封面标准代替信息"/>
    <w:basedOn w:val="1"/>
    <w:qFormat/>
    <w:uiPriority w:val="0"/>
    <w:pPr>
      <w:framePr w:w="9138" w:h="1244" w:hRule="exact" w:wrap="auto" w:vAnchor="page" w:hAnchor="margin" w:y="2908"/>
      <w:kinsoku w:val="0"/>
      <w:overflowPunct w:val="0"/>
      <w:autoSpaceDE w:val="0"/>
      <w:autoSpaceDN w:val="0"/>
      <w:spacing w:before="57" w:line="280" w:lineRule="exact"/>
      <w:jc w:val="right"/>
      <w:textAlignment w:val="center"/>
    </w:pPr>
    <w:rPr>
      <w:rFonts w:ascii="宋体" w:hAnsi="Times New Roman"/>
      <w:kern w:val="0"/>
      <w:szCs w:val="20"/>
    </w:rPr>
  </w:style>
  <w:style w:type="paragraph" w:customStyle="1" w:styleId="128">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29">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30">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131">
    <w:name w:val="封面标准英文名称"/>
    <w:qFormat/>
    <w:uiPriority w:val="0"/>
    <w:pPr>
      <w:widowControl w:val="0"/>
      <w:spacing w:line="360" w:lineRule="exact"/>
      <w:jc w:val="center"/>
    </w:pPr>
    <w:rPr>
      <w:rFonts w:ascii="Times New Roman" w:hAnsi="Times New Roman" w:eastAsia="宋体" w:cs="Times New Roman"/>
      <w:sz w:val="28"/>
      <w:lang w:val="en-US" w:eastAsia="zh-CN" w:bidi="ar-SA"/>
    </w:rPr>
  </w:style>
  <w:style w:type="paragraph" w:customStyle="1" w:styleId="132">
    <w:name w:val="封面一致性程度标识"/>
    <w:qFormat/>
    <w:uiPriority w:val="0"/>
    <w:pPr>
      <w:spacing w:before="440" w:line="440" w:lineRule="exact"/>
      <w:jc w:val="center"/>
    </w:pPr>
    <w:rPr>
      <w:rFonts w:ascii="Times New Roman" w:hAnsi="Times New Roman" w:eastAsia="宋体" w:cs="Times New Roman"/>
      <w:sz w:val="28"/>
      <w:lang w:val="en-US" w:eastAsia="zh-CN" w:bidi="ar-SA"/>
    </w:rPr>
  </w:style>
  <w:style w:type="paragraph" w:customStyle="1" w:styleId="133">
    <w:name w:val="封面正文"/>
    <w:qFormat/>
    <w:uiPriority w:val="0"/>
    <w:pPr>
      <w:jc w:val="both"/>
    </w:pPr>
    <w:rPr>
      <w:rFonts w:ascii="Times New Roman" w:hAnsi="Times New Roman" w:eastAsia="宋体" w:cs="Times New Roman"/>
      <w:lang w:val="en-US" w:eastAsia="zh-CN" w:bidi="ar-SA"/>
    </w:rPr>
  </w:style>
  <w:style w:type="paragraph" w:customStyle="1" w:styleId="134">
    <w:name w:val="附录二级无标题条"/>
    <w:basedOn w:val="1"/>
    <w:next w:val="35"/>
    <w:qFormat/>
    <w:uiPriority w:val="0"/>
    <w:pPr>
      <w:widowControl/>
      <w:wordWrap w:val="0"/>
      <w:overflowPunct w:val="0"/>
      <w:autoSpaceDE w:val="0"/>
      <w:autoSpaceDN w:val="0"/>
      <w:adjustRightInd/>
      <w:spacing w:line="240" w:lineRule="auto"/>
      <w:textAlignment w:val="baseline"/>
      <w:outlineLvl w:val="3"/>
    </w:pPr>
    <w:rPr>
      <w:rFonts w:ascii="宋体" w:hAnsi="宋体"/>
      <w:kern w:val="21"/>
    </w:rPr>
  </w:style>
  <w:style w:type="paragraph" w:customStyle="1" w:styleId="135">
    <w:name w:val="附录三级无标题条"/>
    <w:basedOn w:val="134"/>
    <w:next w:val="35"/>
    <w:qFormat/>
    <w:uiPriority w:val="0"/>
    <w:pPr>
      <w:outlineLvl w:val="4"/>
    </w:pPr>
  </w:style>
  <w:style w:type="paragraph" w:customStyle="1" w:styleId="136">
    <w:name w:val="附录四级无标题条"/>
    <w:basedOn w:val="135"/>
    <w:next w:val="35"/>
    <w:qFormat/>
    <w:uiPriority w:val="0"/>
    <w:pPr>
      <w:outlineLvl w:val="5"/>
    </w:pPr>
  </w:style>
  <w:style w:type="paragraph" w:customStyle="1" w:styleId="137">
    <w:name w:val="附录图"/>
    <w:next w:val="35"/>
    <w:qFormat/>
    <w:uiPriority w:val="0"/>
    <w:pPr>
      <w:wordWrap w:val="0"/>
      <w:overflowPunct w:val="0"/>
      <w:autoSpaceDE w:val="0"/>
      <w:spacing w:before="50" w:beforeLines="50" w:after="50" w:afterLines="50"/>
      <w:jc w:val="center"/>
      <w:textAlignment w:val="baseline"/>
      <w:outlineLvl w:val="1"/>
    </w:pPr>
    <w:rPr>
      <w:rFonts w:ascii="黑体" w:hAnsi="Times New Roman" w:eastAsia="黑体" w:cs="Times New Roman"/>
      <w:kern w:val="21"/>
      <w:sz w:val="21"/>
      <w:lang w:val="en-US" w:eastAsia="zh-CN" w:bidi="ar-SA"/>
    </w:rPr>
  </w:style>
  <w:style w:type="paragraph" w:customStyle="1" w:styleId="138">
    <w:name w:val="标准文件_一级项"/>
    <w:qFormat/>
    <w:uiPriority w:val="0"/>
    <w:pPr>
      <w:numPr>
        <w:ilvl w:val="0"/>
        <w:numId w:val="21"/>
      </w:numPr>
    </w:pPr>
    <w:rPr>
      <w:rFonts w:ascii="宋体" w:hAnsi="Times New Roman" w:eastAsia="宋体" w:cs="Times New Roman"/>
      <w:sz w:val="21"/>
      <w:lang w:val="en-US" w:eastAsia="zh-CN" w:bidi="ar-SA"/>
    </w:rPr>
  </w:style>
  <w:style w:type="paragraph" w:customStyle="1" w:styleId="139">
    <w:name w:val="附录五级无标题条"/>
    <w:basedOn w:val="136"/>
    <w:next w:val="35"/>
    <w:qFormat/>
    <w:uiPriority w:val="0"/>
    <w:pPr>
      <w:outlineLvl w:val="6"/>
    </w:pPr>
  </w:style>
  <w:style w:type="paragraph" w:customStyle="1" w:styleId="140">
    <w:name w:val="附录性质"/>
    <w:basedOn w:val="1"/>
    <w:qFormat/>
    <w:uiPriority w:val="0"/>
    <w:pPr>
      <w:widowControl/>
      <w:adjustRightInd/>
      <w:jc w:val="center"/>
    </w:pPr>
    <w:rPr>
      <w:rFonts w:ascii="黑体" w:eastAsia="黑体"/>
    </w:rPr>
  </w:style>
  <w:style w:type="paragraph" w:customStyle="1" w:styleId="141">
    <w:name w:val="附录一级无标题条"/>
    <w:basedOn w:val="98"/>
    <w:next w:val="35"/>
    <w:qFormat/>
    <w:uiPriority w:val="0"/>
    <w:pPr>
      <w:autoSpaceDN w:val="0"/>
      <w:outlineLvl w:val="2"/>
    </w:pPr>
    <w:rPr>
      <w:rFonts w:ascii="宋体" w:hAnsi="宋体" w:eastAsia="宋体"/>
    </w:rPr>
  </w:style>
  <w:style w:type="character" w:customStyle="1" w:styleId="142">
    <w:name w:val="个人答复风格"/>
    <w:qFormat/>
    <w:uiPriority w:val="0"/>
    <w:rPr>
      <w:rFonts w:ascii="Arial" w:hAnsi="Arial" w:eastAsia="宋体" w:cs="Arial"/>
      <w:color w:val="auto"/>
      <w:spacing w:val="0"/>
      <w:sz w:val="20"/>
    </w:rPr>
  </w:style>
  <w:style w:type="character" w:customStyle="1" w:styleId="143">
    <w:name w:val="个人撰写风格"/>
    <w:qFormat/>
    <w:uiPriority w:val="0"/>
    <w:rPr>
      <w:rFonts w:ascii="Arial" w:hAnsi="Arial" w:eastAsia="宋体" w:cs="Arial"/>
      <w:color w:val="auto"/>
      <w:spacing w:val="0"/>
      <w:sz w:val="20"/>
    </w:rPr>
  </w:style>
  <w:style w:type="paragraph" w:customStyle="1" w:styleId="144">
    <w:name w:val="脚注后续"/>
    <w:qFormat/>
    <w:uiPriority w:val="0"/>
    <w:pPr>
      <w:ind w:left="350" w:leftChars="350"/>
      <w:jc w:val="both"/>
    </w:pPr>
    <w:rPr>
      <w:rFonts w:ascii="宋体" w:hAnsi="Times New Roman" w:eastAsia="宋体" w:cs="Times New Roman"/>
      <w:sz w:val="18"/>
      <w:lang w:val="en-US" w:eastAsia="zh-CN" w:bidi="ar-SA"/>
    </w:rPr>
  </w:style>
  <w:style w:type="paragraph" w:customStyle="1" w:styleId="145">
    <w:name w:val="列项——"/>
    <w:qFormat/>
    <w:uiPriority w:val="0"/>
    <w:pPr>
      <w:widowControl w:val="0"/>
      <w:numPr>
        <w:ilvl w:val="0"/>
        <w:numId w:val="22"/>
      </w:numPr>
      <w:jc w:val="both"/>
    </w:pPr>
    <w:rPr>
      <w:rFonts w:ascii="宋体" w:hAnsi="宋体" w:eastAsia="宋体" w:cs="Times New Roman"/>
      <w:sz w:val="21"/>
      <w:lang w:val="en-US" w:eastAsia="zh-CN" w:bidi="ar-SA"/>
    </w:rPr>
  </w:style>
  <w:style w:type="paragraph" w:customStyle="1" w:styleId="146">
    <w:name w:val="列项·"/>
    <w:basedOn w:val="35"/>
    <w:qFormat/>
    <w:uiPriority w:val="0"/>
    <w:pPr>
      <w:tabs>
        <w:tab w:val="left" w:pos="840"/>
      </w:tabs>
    </w:pPr>
  </w:style>
  <w:style w:type="paragraph" w:customStyle="1" w:styleId="147">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48">
    <w:name w:val="目录 21"/>
    <w:basedOn w:val="1"/>
    <w:next w:val="1"/>
    <w:autoRedefine/>
    <w:semiHidden/>
    <w:qFormat/>
    <w:uiPriority w:val="0"/>
    <w:pPr>
      <w:adjustRightInd/>
      <w:spacing w:line="240" w:lineRule="auto"/>
      <w:jc w:val="left"/>
    </w:pPr>
    <w:rPr>
      <w:bCs/>
      <w:iCs/>
    </w:rPr>
  </w:style>
  <w:style w:type="paragraph" w:customStyle="1" w:styleId="149">
    <w:name w:val="目录 31"/>
    <w:basedOn w:val="1"/>
    <w:next w:val="1"/>
    <w:autoRedefine/>
    <w:semiHidden/>
    <w:qFormat/>
    <w:uiPriority w:val="0"/>
    <w:pPr>
      <w:spacing w:line="240" w:lineRule="auto"/>
    </w:pPr>
    <w:rPr>
      <w:rFonts w:ascii="宋体" w:hAnsi="宋体"/>
      <w:iCs/>
    </w:rPr>
  </w:style>
  <w:style w:type="paragraph" w:customStyle="1" w:styleId="150">
    <w:name w:val="目录 41"/>
    <w:basedOn w:val="1"/>
    <w:next w:val="1"/>
    <w:autoRedefine/>
    <w:semiHidden/>
    <w:qFormat/>
    <w:uiPriority w:val="0"/>
    <w:pPr>
      <w:adjustRightInd/>
      <w:spacing w:line="240" w:lineRule="auto"/>
      <w:jc w:val="left"/>
    </w:pPr>
  </w:style>
  <w:style w:type="paragraph" w:customStyle="1" w:styleId="151">
    <w:name w:val="目录 51"/>
    <w:basedOn w:val="1"/>
    <w:next w:val="1"/>
    <w:autoRedefine/>
    <w:semiHidden/>
    <w:qFormat/>
    <w:uiPriority w:val="0"/>
    <w:pPr>
      <w:spacing w:line="240" w:lineRule="auto"/>
    </w:pPr>
    <w:rPr>
      <w:rFonts w:ascii="宋体" w:hAnsi="宋体"/>
    </w:rPr>
  </w:style>
  <w:style w:type="paragraph" w:customStyle="1" w:styleId="152">
    <w:name w:val="目录 61"/>
    <w:basedOn w:val="1"/>
    <w:next w:val="1"/>
    <w:autoRedefine/>
    <w:semiHidden/>
    <w:qFormat/>
    <w:uiPriority w:val="0"/>
    <w:pPr>
      <w:adjustRightInd/>
      <w:spacing w:line="240" w:lineRule="auto"/>
      <w:jc w:val="left"/>
    </w:pPr>
  </w:style>
  <w:style w:type="paragraph" w:customStyle="1" w:styleId="153">
    <w:name w:val="目录 71"/>
    <w:basedOn w:val="152"/>
    <w:autoRedefine/>
    <w:semiHidden/>
    <w:qFormat/>
    <w:uiPriority w:val="0"/>
    <w:pPr>
      <w:ind w:left="1260"/>
    </w:pPr>
  </w:style>
  <w:style w:type="paragraph" w:customStyle="1" w:styleId="154">
    <w:name w:val="目录 81"/>
    <w:basedOn w:val="153"/>
    <w:autoRedefine/>
    <w:semiHidden/>
    <w:qFormat/>
    <w:uiPriority w:val="0"/>
    <w:pPr>
      <w:ind w:left="1470"/>
    </w:pPr>
  </w:style>
  <w:style w:type="paragraph" w:customStyle="1" w:styleId="155">
    <w:name w:val="目录 91"/>
    <w:basedOn w:val="154"/>
    <w:autoRedefine/>
    <w:semiHidden/>
    <w:qFormat/>
    <w:uiPriority w:val="0"/>
    <w:pPr>
      <w:ind w:left="1680"/>
    </w:pPr>
  </w:style>
  <w:style w:type="paragraph" w:customStyle="1" w:styleId="156">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57">
    <w:name w:val="其他发布部门"/>
    <w:basedOn w:val="125"/>
    <w:qFormat/>
    <w:uiPriority w:val="0"/>
    <w:pPr>
      <w:framePr w:wrap="around"/>
      <w:spacing w:line="0" w:lineRule="atLeast"/>
    </w:pPr>
    <w:rPr>
      <w:rFonts w:ascii="黑体" w:eastAsia="黑体"/>
      <w:b w:val="0"/>
    </w:rPr>
  </w:style>
  <w:style w:type="paragraph" w:customStyle="1" w:styleId="158">
    <w:name w:val="三级无标题条"/>
    <w:basedOn w:val="1"/>
    <w:qFormat/>
    <w:uiPriority w:val="0"/>
    <w:pPr>
      <w:numPr>
        <w:ilvl w:val="4"/>
        <w:numId w:val="20"/>
      </w:numPr>
      <w:adjustRightInd/>
      <w:spacing w:line="240" w:lineRule="auto"/>
    </w:pPr>
    <w:rPr>
      <w:rFonts w:ascii="宋体" w:hAnsi="宋体"/>
      <w:szCs w:val="24"/>
    </w:rPr>
  </w:style>
  <w:style w:type="paragraph" w:customStyle="1" w:styleId="159">
    <w:name w:val="实施日期"/>
    <w:basedOn w:val="126"/>
    <w:qFormat/>
    <w:uiPriority w:val="0"/>
    <w:pPr>
      <w:framePr w:hSpace="0" w:wrap="around" w:xAlign="right"/>
      <w:jc w:val="right"/>
    </w:pPr>
  </w:style>
  <w:style w:type="paragraph" w:customStyle="1" w:styleId="160">
    <w:name w:val="四级无标题条"/>
    <w:basedOn w:val="1"/>
    <w:qFormat/>
    <w:uiPriority w:val="0"/>
    <w:pPr>
      <w:numPr>
        <w:ilvl w:val="5"/>
        <w:numId w:val="20"/>
      </w:numPr>
      <w:adjustRightInd/>
      <w:spacing w:line="240" w:lineRule="auto"/>
    </w:pPr>
    <w:rPr>
      <w:rFonts w:ascii="宋体" w:hAnsi="宋体"/>
      <w:szCs w:val="24"/>
    </w:rPr>
  </w:style>
  <w:style w:type="paragraph" w:customStyle="1" w:styleId="161">
    <w:name w:val="文献分类号"/>
    <w:qFormat/>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paragraph" w:customStyle="1" w:styleId="162">
    <w:name w:val="无标题条"/>
    <w:next w:val="35"/>
    <w:qFormat/>
    <w:uiPriority w:val="0"/>
    <w:pPr>
      <w:jc w:val="both"/>
    </w:pPr>
    <w:rPr>
      <w:rFonts w:ascii="宋体" w:hAnsi="宋体" w:eastAsia="宋体" w:cs="Times New Roman"/>
      <w:sz w:val="21"/>
      <w:lang w:val="en-US" w:eastAsia="zh-CN" w:bidi="ar-SA"/>
    </w:rPr>
  </w:style>
  <w:style w:type="paragraph" w:customStyle="1" w:styleId="163">
    <w:name w:val="五级无标题条"/>
    <w:basedOn w:val="1"/>
    <w:qFormat/>
    <w:uiPriority w:val="0"/>
    <w:pPr>
      <w:numPr>
        <w:ilvl w:val="6"/>
        <w:numId w:val="20"/>
      </w:numPr>
      <w:adjustRightInd/>
    </w:pPr>
    <w:rPr>
      <w:szCs w:val="24"/>
    </w:rPr>
  </w:style>
  <w:style w:type="paragraph" w:customStyle="1" w:styleId="164">
    <w:name w:val="一级无标题条"/>
    <w:basedOn w:val="1"/>
    <w:qFormat/>
    <w:uiPriority w:val="0"/>
    <w:pPr>
      <w:numPr>
        <w:ilvl w:val="2"/>
        <w:numId w:val="20"/>
      </w:numPr>
      <w:adjustRightInd/>
      <w:spacing w:before="10" w:after="10" w:line="240" w:lineRule="auto"/>
    </w:pPr>
    <w:rPr>
      <w:rFonts w:ascii="宋体" w:hAnsi="宋体"/>
      <w:szCs w:val="24"/>
    </w:rPr>
  </w:style>
  <w:style w:type="paragraph" w:customStyle="1" w:styleId="165">
    <w:name w:val="注:后续"/>
    <w:qFormat/>
    <w:uiPriority w:val="0"/>
    <w:pPr>
      <w:spacing w:line="300" w:lineRule="exact"/>
      <w:ind w:left="600" w:leftChars="400" w:hanging="200" w:hangingChars="200"/>
      <w:jc w:val="both"/>
    </w:pPr>
    <w:rPr>
      <w:rFonts w:ascii="宋体" w:hAnsi="Times New Roman" w:eastAsia="宋体" w:cs="Times New Roman"/>
      <w:sz w:val="18"/>
      <w:lang w:val="en-US" w:eastAsia="zh-CN" w:bidi="ar-SA"/>
    </w:rPr>
  </w:style>
  <w:style w:type="paragraph" w:customStyle="1" w:styleId="166">
    <w:name w:val="注×:后续"/>
    <w:basedOn w:val="165"/>
    <w:qFormat/>
    <w:uiPriority w:val="0"/>
    <w:pPr>
      <w:ind w:left="1406" w:leftChars="0" w:hanging="499" w:firstLineChars="0"/>
    </w:pPr>
  </w:style>
  <w:style w:type="paragraph" w:customStyle="1" w:styleId="167">
    <w:name w:val="标准文件_一级无标题"/>
    <w:basedOn w:val="41"/>
    <w:qFormat/>
    <w:uiPriority w:val="0"/>
    <w:pPr>
      <w:spacing w:before="0" w:beforeLines="0" w:after="0" w:afterLines="0"/>
      <w:outlineLvl w:val="9"/>
    </w:pPr>
    <w:rPr>
      <w:rFonts w:ascii="宋体" w:eastAsia="宋体"/>
    </w:rPr>
  </w:style>
  <w:style w:type="paragraph" w:customStyle="1" w:styleId="168">
    <w:name w:val="标准文件_五级无标题"/>
    <w:basedOn w:val="46"/>
    <w:qFormat/>
    <w:uiPriority w:val="0"/>
    <w:pPr>
      <w:spacing w:before="0" w:beforeLines="0" w:after="0" w:afterLines="0"/>
      <w:outlineLvl w:val="9"/>
    </w:pPr>
    <w:rPr>
      <w:rFonts w:ascii="宋体" w:eastAsia="宋体"/>
    </w:rPr>
  </w:style>
  <w:style w:type="paragraph" w:customStyle="1" w:styleId="169">
    <w:name w:val="标准文件_三级无标题"/>
    <w:basedOn w:val="44"/>
    <w:qFormat/>
    <w:uiPriority w:val="0"/>
    <w:pPr>
      <w:spacing w:before="0" w:beforeLines="0" w:after="0" w:afterLines="0"/>
      <w:outlineLvl w:val="9"/>
    </w:pPr>
    <w:rPr>
      <w:rFonts w:ascii="宋体" w:eastAsia="宋体"/>
    </w:rPr>
  </w:style>
  <w:style w:type="paragraph" w:customStyle="1" w:styleId="170">
    <w:name w:val="标准文件_二级无标题"/>
    <w:basedOn w:val="43"/>
    <w:qFormat/>
    <w:uiPriority w:val="0"/>
    <w:pPr>
      <w:spacing w:before="0" w:beforeLines="0" w:after="0" w:afterLines="0"/>
      <w:outlineLvl w:val="9"/>
    </w:pPr>
    <w:rPr>
      <w:rFonts w:ascii="宋体" w:eastAsia="宋体"/>
    </w:rPr>
  </w:style>
  <w:style w:type="paragraph" w:customStyle="1" w:styleId="171">
    <w:name w:val="标准_四级无标题"/>
    <w:basedOn w:val="45"/>
    <w:next w:val="35"/>
    <w:qFormat/>
    <w:uiPriority w:val="0"/>
    <w:rPr>
      <w:rFonts w:eastAsia="宋体"/>
    </w:rPr>
  </w:style>
  <w:style w:type="paragraph" w:customStyle="1" w:styleId="172">
    <w:name w:val="标准文件_四级无标题"/>
    <w:basedOn w:val="45"/>
    <w:qFormat/>
    <w:uiPriority w:val="0"/>
    <w:pPr>
      <w:spacing w:before="0" w:beforeLines="0" w:after="0" w:afterLines="0"/>
      <w:outlineLvl w:val="9"/>
    </w:pPr>
    <w:rPr>
      <w:rFonts w:ascii="宋体" w:hAnsi="黑体" w:eastAsia="宋体"/>
      <w:szCs w:val="52"/>
    </w:rPr>
  </w:style>
  <w:style w:type="paragraph" w:customStyle="1" w:styleId="173">
    <w:name w:val="标准文件_大写罗马数字编号列项"/>
    <w:basedOn w:val="35"/>
    <w:qFormat/>
    <w:uiPriority w:val="0"/>
    <w:pPr>
      <w:numPr>
        <w:ilvl w:val="0"/>
        <w:numId w:val="23"/>
      </w:numPr>
      <w:ind w:firstLine="0" w:firstLineChars="0"/>
    </w:pPr>
    <w:rPr>
      <w:rFonts w:cs="Arial"/>
      <w:szCs w:val="28"/>
    </w:rPr>
  </w:style>
  <w:style w:type="paragraph" w:customStyle="1" w:styleId="174">
    <w:name w:val="标准文件_小写罗马数字编号列项"/>
    <w:basedOn w:val="35"/>
    <w:qFormat/>
    <w:uiPriority w:val="0"/>
    <w:pPr>
      <w:numPr>
        <w:ilvl w:val="0"/>
        <w:numId w:val="24"/>
      </w:numPr>
      <w:ind w:firstLine="0" w:firstLineChars="0"/>
    </w:pPr>
    <w:rPr>
      <w:rFonts w:cs="Arial"/>
      <w:szCs w:val="28"/>
    </w:rPr>
  </w:style>
  <w:style w:type="paragraph" w:customStyle="1" w:styleId="175">
    <w:name w:val="标准文件_附录标题"/>
    <w:basedOn w:val="87"/>
    <w:qFormat/>
    <w:uiPriority w:val="0"/>
    <w:pPr>
      <w:numPr>
        <w:numId w:val="0"/>
      </w:numPr>
      <w:spacing w:after="280"/>
      <w:outlineLvl w:val="9"/>
    </w:pPr>
  </w:style>
  <w:style w:type="paragraph" w:customStyle="1" w:styleId="176">
    <w:name w:val="标准文件_二级项"/>
    <w:qFormat/>
    <w:uiPriority w:val="0"/>
    <w:rPr>
      <w:rFonts w:ascii="宋体" w:hAnsi="Times New Roman" w:eastAsia="宋体" w:cs="Times New Roman"/>
      <w:sz w:val="21"/>
      <w:lang w:val="en-US" w:eastAsia="zh-CN" w:bidi="ar-SA"/>
    </w:rPr>
  </w:style>
  <w:style w:type="paragraph" w:customStyle="1" w:styleId="177">
    <w:name w:val="标准文件_三级项"/>
    <w:basedOn w:val="1"/>
    <w:qFormat/>
    <w:uiPriority w:val="0"/>
    <w:pPr>
      <w:numPr>
        <w:ilvl w:val="2"/>
        <w:numId w:val="21"/>
      </w:numPr>
      <w:spacing w:line="536870612" w:lineRule="auto"/>
    </w:pPr>
    <w:rPr>
      <w:rFonts w:ascii="Times New Roman" w:hAnsi="Times New Roman"/>
    </w:rPr>
  </w:style>
  <w:style w:type="paragraph" w:customStyle="1" w:styleId="178">
    <w:name w:val="图表脚注说明"/>
    <w:basedOn w:val="1"/>
    <w:next w:val="35"/>
    <w:qFormat/>
    <w:uiPriority w:val="0"/>
    <w:pPr>
      <w:numPr>
        <w:ilvl w:val="0"/>
        <w:numId w:val="25"/>
      </w:numPr>
      <w:adjustRightInd/>
      <w:spacing w:line="240" w:lineRule="auto"/>
    </w:pPr>
    <w:rPr>
      <w:rFonts w:ascii="宋体" w:hAnsi="Times New Roman"/>
      <w:sz w:val="18"/>
      <w:szCs w:val="18"/>
    </w:rPr>
  </w:style>
  <w:style w:type="paragraph" w:customStyle="1" w:styleId="179">
    <w:name w:val="标准文件_字母编号列项（一级）"/>
    <w:qFormat/>
    <w:uiPriority w:val="0"/>
    <w:pPr>
      <w:numPr>
        <w:ilvl w:val="0"/>
        <w:numId w:val="13"/>
      </w:numPr>
      <w:jc w:val="both"/>
    </w:pPr>
    <w:rPr>
      <w:rFonts w:ascii="宋体" w:hAnsi="Times New Roman" w:eastAsia="宋体" w:cs="Times New Roman"/>
      <w:sz w:val="21"/>
      <w:lang w:val="en-US" w:eastAsia="zh-CN" w:bidi="ar-SA"/>
    </w:rPr>
  </w:style>
  <w:style w:type="paragraph" w:customStyle="1" w:styleId="180">
    <w:name w:val="标准文件_索引字母"/>
    <w:next w:val="35"/>
    <w:qFormat/>
    <w:uiPriority w:val="0"/>
    <w:pPr>
      <w:jc w:val="center"/>
    </w:pPr>
    <w:rPr>
      <w:rFonts w:ascii="宋体" w:hAnsi="宋体" w:eastAsia="Times New Roman" w:cs="Times New Roman"/>
      <w:b/>
      <w:kern w:val="2"/>
      <w:sz w:val="21"/>
      <w:lang w:val="en-US" w:eastAsia="zh-CN" w:bidi="ar-SA"/>
    </w:rPr>
  </w:style>
  <w:style w:type="paragraph" w:customStyle="1" w:styleId="181">
    <w:name w:val="标准文件_附录前"/>
    <w:next w:val="35"/>
    <w:qFormat/>
    <w:uiPriority w:val="0"/>
    <w:pPr>
      <w:spacing w:line="20" w:lineRule="atLeast"/>
      <w:ind w:firstLine="200"/>
    </w:pPr>
    <w:rPr>
      <w:rFonts w:ascii="宋体" w:hAnsi="宋体" w:eastAsia="宋体" w:cs="Times New Roman"/>
      <w:kern w:val="2"/>
      <w:sz w:val="10"/>
      <w:lang w:val="en-US" w:eastAsia="zh-CN" w:bidi="ar-SA"/>
    </w:rPr>
  </w:style>
  <w:style w:type="paragraph" w:customStyle="1" w:styleId="182">
    <w:name w:val="标准文件_正文标准名称"/>
    <w:qFormat/>
    <w:uiPriority w:val="0"/>
    <w:pPr>
      <w:spacing w:before="560" w:after="640" w:line="400" w:lineRule="exact"/>
      <w:jc w:val="center"/>
    </w:pPr>
    <w:rPr>
      <w:rFonts w:ascii="黑体" w:hAnsi="黑体" w:eastAsia="黑体" w:cs="Times New Roman"/>
      <w:kern w:val="2"/>
      <w:sz w:val="32"/>
      <w:szCs w:val="32"/>
      <w:lang w:val="en-US" w:eastAsia="zh-CN" w:bidi="ar-SA"/>
    </w:rPr>
  </w:style>
  <w:style w:type="paragraph" w:customStyle="1" w:styleId="183">
    <w:name w:val="标准文件_表格"/>
    <w:basedOn w:val="35"/>
    <w:qFormat/>
    <w:uiPriority w:val="0"/>
    <w:pPr>
      <w:ind w:firstLine="0" w:firstLineChars="0"/>
      <w:jc w:val="center"/>
    </w:pPr>
    <w:rPr>
      <w:sz w:val="18"/>
    </w:rPr>
  </w:style>
  <w:style w:type="paragraph" w:customStyle="1" w:styleId="184">
    <w:name w:val="标准文件_注："/>
    <w:next w:val="35"/>
    <w:qFormat/>
    <w:uiPriority w:val="0"/>
    <w:pPr>
      <w:widowControl w:val="0"/>
      <w:numPr>
        <w:ilvl w:val="0"/>
        <w:numId w:val="26"/>
      </w:numPr>
      <w:autoSpaceDE w:val="0"/>
      <w:autoSpaceDN w:val="0"/>
      <w:jc w:val="both"/>
    </w:pPr>
    <w:rPr>
      <w:rFonts w:ascii="宋体" w:hAnsi="Times New Roman" w:eastAsia="宋体" w:cs="Times New Roman"/>
      <w:sz w:val="18"/>
      <w:szCs w:val="18"/>
      <w:lang w:val="en-US" w:eastAsia="zh-CN" w:bidi="ar-SA"/>
    </w:rPr>
  </w:style>
  <w:style w:type="paragraph" w:customStyle="1" w:styleId="185">
    <w:name w:val="标准文件_注×："/>
    <w:qFormat/>
    <w:uiPriority w:val="0"/>
    <w:pPr>
      <w:widowControl w:val="0"/>
      <w:numPr>
        <w:ilvl w:val="0"/>
        <w:numId w:val="27"/>
      </w:numPr>
      <w:autoSpaceDE w:val="0"/>
      <w:autoSpaceDN w:val="0"/>
      <w:jc w:val="both"/>
    </w:pPr>
    <w:rPr>
      <w:rFonts w:ascii="宋体" w:hAnsi="Times New Roman" w:eastAsia="宋体" w:cs="Times New Roman"/>
      <w:sz w:val="18"/>
      <w:szCs w:val="18"/>
      <w:lang w:val="en-US" w:eastAsia="zh-CN" w:bidi="ar-SA"/>
    </w:rPr>
  </w:style>
  <w:style w:type="paragraph" w:customStyle="1" w:styleId="186">
    <w:name w:val="标准文件_示例："/>
    <w:next w:val="187"/>
    <w:qFormat/>
    <w:uiPriority w:val="0"/>
    <w:pPr>
      <w:widowControl w:val="0"/>
      <w:numPr>
        <w:ilvl w:val="0"/>
        <w:numId w:val="28"/>
      </w:numPr>
      <w:jc w:val="both"/>
    </w:pPr>
    <w:rPr>
      <w:rFonts w:ascii="宋体" w:hAnsi="Times New Roman" w:eastAsia="宋体" w:cs="Times New Roman"/>
      <w:sz w:val="18"/>
      <w:szCs w:val="18"/>
      <w:lang w:val="en-US" w:eastAsia="zh-CN" w:bidi="ar-SA"/>
    </w:rPr>
  </w:style>
  <w:style w:type="paragraph" w:customStyle="1" w:styleId="187">
    <w:name w:val="标准文件_示例内容"/>
    <w:basedOn w:val="35"/>
    <w:qFormat/>
    <w:uiPriority w:val="0"/>
    <w:pPr>
      <w:ind w:firstLine="420"/>
    </w:pPr>
    <w:rPr>
      <w:sz w:val="18"/>
    </w:rPr>
  </w:style>
  <w:style w:type="paragraph" w:customStyle="1" w:styleId="188">
    <w:name w:val="标准文件_示例×："/>
    <w:basedOn w:val="1"/>
    <w:next w:val="187"/>
    <w:qFormat/>
    <w:uiPriority w:val="0"/>
    <w:pPr>
      <w:widowControl/>
      <w:numPr>
        <w:ilvl w:val="0"/>
        <w:numId w:val="29"/>
      </w:numPr>
      <w:adjustRightInd/>
      <w:spacing w:line="240" w:lineRule="auto"/>
    </w:pPr>
    <w:rPr>
      <w:rFonts w:ascii="宋体" w:hAnsi="Times New Roman"/>
      <w:kern w:val="0"/>
      <w:sz w:val="18"/>
      <w:szCs w:val="18"/>
    </w:rPr>
  </w:style>
  <w:style w:type="character" w:customStyle="1" w:styleId="189">
    <w:name w:val="标准文件_段 Char"/>
    <w:link w:val="35"/>
    <w:qFormat/>
    <w:uiPriority w:val="0"/>
    <w:rPr>
      <w:rFonts w:ascii="Times New Roman" w:hAnsi="Times New Roman"/>
      <w:sz w:val="21"/>
    </w:rPr>
  </w:style>
  <w:style w:type="paragraph" w:customStyle="1" w:styleId="190">
    <w:name w:val="标准文件_表格续"/>
    <w:basedOn w:val="35"/>
    <w:next w:val="35"/>
    <w:qFormat/>
    <w:uiPriority w:val="0"/>
    <w:pPr>
      <w:jc w:val="center"/>
    </w:pPr>
    <w:rPr>
      <w:rFonts w:ascii="黑体" w:hAnsi="黑体" w:eastAsia="黑体"/>
    </w:rPr>
  </w:style>
  <w:style w:type="character" w:styleId="191">
    <w:name w:val="Placeholder Text"/>
    <w:basedOn w:val="28"/>
    <w:semiHidden/>
    <w:qFormat/>
    <w:uiPriority w:val="99"/>
    <w:rPr>
      <w:color w:val="808080"/>
    </w:rPr>
  </w:style>
  <w:style w:type="paragraph" w:customStyle="1" w:styleId="192">
    <w:name w:val="标准文件_二级项2"/>
    <w:basedOn w:val="35"/>
    <w:qFormat/>
    <w:uiPriority w:val="0"/>
    <w:pPr>
      <w:numPr>
        <w:ilvl w:val="1"/>
        <w:numId w:val="21"/>
      </w:numPr>
      <w:ind w:firstLine="0" w:firstLineChars="0"/>
    </w:pPr>
  </w:style>
  <w:style w:type="paragraph" w:customStyle="1" w:styleId="193">
    <w:name w:val="标准文件_三级项2"/>
    <w:basedOn w:val="35"/>
    <w:qFormat/>
    <w:uiPriority w:val="0"/>
    <w:pPr>
      <w:numPr>
        <w:ilvl w:val="0"/>
        <w:numId w:val="30"/>
      </w:numPr>
      <w:spacing w:line="300" w:lineRule="exact"/>
      <w:ind w:firstLineChars="0"/>
    </w:pPr>
  </w:style>
  <w:style w:type="paragraph" w:customStyle="1" w:styleId="194">
    <w:name w:val="标准文件_一级项2"/>
    <w:basedOn w:val="35"/>
    <w:qFormat/>
    <w:uiPriority w:val="0"/>
    <w:pPr>
      <w:numPr>
        <w:ilvl w:val="0"/>
        <w:numId w:val="31"/>
      </w:numPr>
      <w:spacing w:line="300" w:lineRule="exact"/>
      <w:ind w:firstLineChars="0"/>
    </w:pPr>
  </w:style>
  <w:style w:type="paragraph" w:customStyle="1" w:styleId="195">
    <w:name w:val="标准文件_提示"/>
    <w:basedOn w:val="35"/>
    <w:next w:val="35"/>
    <w:qFormat/>
    <w:uiPriority w:val="0"/>
    <w:pPr>
      <w:ind w:firstLine="420"/>
    </w:pPr>
    <w:rPr>
      <w:rFonts w:ascii="黑体" w:eastAsia="黑体"/>
    </w:rPr>
  </w:style>
  <w:style w:type="character" w:customStyle="1" w:styleId="196">
    <w:name w:val="标准文件_来源"/>
    <w:basedOn w:val="28"/>
    <w:qFormat/>
    <w:uiPriority w:val="1"/>
    <w:rPr>
      <w:rFonts w:eastAsia="宋体"/>
      <w:sz w:val="21"/>
    </w:rPr>
  </w:style>
  <w:style w:type="paragraph" w:customStyle="1" w:styleId="197">
    <w:name w:val="标准文件_图表说明"/>
    <w:qFormat/>
    <w:uiPriority w:val="0"/>
    <w:pPr>
      <w:spacing w:line="276" w:lineRule="auto"/>
      <w:ind w:firstLine="420"/>
    </w:pPr>
    <w:rPr>
      <w:rFonts w:ascii="宋体" w:hAnsi="宋体" w:eastAsia="宋体" w:cs="Times New Roman"/>
      <w:kern w:val="2"/>
      <w:sz w:val="18"/>
      <w:lang w:val="en-US" w:eastAsia="zh-CN" w:bidi="ar-SA"/>
    </w:rPr>
  </w:style>
  <w:style w:type="paragraph" w:customStyle="1" w:styleId="198">
    <w:name w:val="其他发布日期"/>
    <w:basedOn w:val="126"/>
    <w:qFormat/>
    <w:uiPriority w:val="0"/>
    <w:pPr>
      <w:framePr w:w="3997" w:h="471" w:hRule="exact" w:hSpace="0" w:vSpace="181" w:wrap="around" w:vAnchor="page" w:hAnchor="page" w:x="1419" w:y="14097"/>
    </w:pPr>
  </w:style>
  <w:style w:type="paragraph" w:customStyle="1" w:styleId="199">
    <w:name w:val="其他实施日期"/>
    <w:basedOn w:val="159"/>
    <w:qFormat/>
    <w:uiPriority w:val="0"/>
    <w:pPr>
      <w:framePr w:w="3997" w:h="471" w:hRule="exact" w:vSpace="181" w:wrap="around" w:vAnchor="page" w:hAnchor="page" w:x="7089" w:y="14097"/>
    </w:pPr>
  </w:style>
  <w:style w:type="paragraph" w:customStyle="1" w:styleId="200">
    <w:name w:val="标准文件_文件编号"/>
    <w:basedOn w:val="35"/>
    <w:qFormat/>
    <w:uiPriority w:val="0"/>
    <w:pPr>
      <w:framePr w:w="9356" w:h="624" w:hRule="exact" w:hSpace="181" w:vSpace="181" w:wrap="auto" w:vAnchor="page" w:hAnchor="page" w:x="1419" w:y="3284"/>
      <w:wordWrap w:val="0"/>
      <w:spacing w:line="280" w:lineRule="exact"/>
      <w:ind w:firstLine="0" w:firstLineChars="0"/>
      <w:jc w:val="right"/>
    </w:pPr>
    <w:rPr>
      <w:rFonts w:ascii="黑体" w:eastAsia="黑体"/>
      <w:bCs/>
      <w:sz w:val="28"/>
      <w:szCs w:val="28"/>
    </w:rPr>
  </w:style>
  <w:style w:type="paragraph" w:customStyle="1" w:styleId="201">
    <w:name w:val="标准文件_替换文件编号"/>
    <w:basedOn w:val="200"/>
    <w:qFormat/>
    <w:uiPriority w:val="0"/>
    <w:pPr>
      <w:spacing w:before="57"/>
    </w:pPr>
    <w:rPr>
      <w:sz w:val="21"/>
    </w:rPr>
  </w:style>
  <w:style w:type="paragraph" w:customStyle="1" w:styleId="202">
    <w:name w:val="标准文件_文件名称"/>
    <w:basedOn w:val="35"/>
    <w:next w:val="35"/>
    <w:qFormat/>
    <w:uiPriority w:val="0"/>
    <w:pPr>
      <w:framePr w:w="9639" w:h="6976" w:hRule="exact" w:wrap="auto" w:vAnchor="page" w:hAnchor="page" w:y="6408"/>
      <w:autoSpaceDE/>
      <w:autoSpaceDN/>
      <w:spacing w:line="700" w:lineRule="exact"/>
      <w:ind w:firstLine="0" w:firstLineChars="0"/>
      <w:jc w:val="center"/>
    </w:pPr>
    <w:rPr>
      <w:rFonts w:ascii="黑体" w:hAnsi="黑体" w:eastAsia="黑体"/>
      <w:bCs/>
      <w:sz w:val="52"/>
    </w:rPr>
  </w:style>
  <w:style w:type="paragraph" w:customStyle="1" w:styleId="203">
    <w:name w:val="标准文件_附录图标号"/>
    <w:basedOn w:val="35"/>
    <w:next w:val="35"/>
    <w:qFormat/>
    <w:uiPriority w:val="0"/>
    <w:pPr>
      <w:numPr>
        <w:ilvl w:val="0"/>
        <w:numId w:val="7"/>
      </w:numPr>
      <w:spacing w:line="14" w:lineRule="exact"/>
      <w:ind w:firstLine="0" w:firstLineChars="0"/>
      <w:jc w:val="center"/>
    </w:pPr>
    <w:rPr>
      <w:rFonts w:ascii="黑体" w:hAnsi="黑体" w:eastAsia="黑体"/>
      <w:vanish/>
      <w:sz w:val="2"/>
      <w:szCs w:val="21"/>
    </w:rPr>
  </w:style>
  <w:style w:type="paragraph" w:customStyle="1" w:styleId="204">
    <w:name w:val="标准文件_附录表标号"/>
    <w:basedOn w:val="35"/>
    <w:next w:val="35"/>
    <w:qFormat/>
    <w:uiPriority w:val="0"/>
    <w:pPr>
      <w:numPr>
        <w:ilvl w:val="0"/>
        <w:numId w:val="6"/>
      </w:numPr>
      <w:spacing w:line="14" w:lineRule="exact"/>
      <w:ind w:firstLine="0" w:firstLineChars="0"/>
      <w:jc w:val="center"/>
    </w:pPr>
    <w:rPr>
      <w:rFonts w:eastAsia="黑体"/>
      <w:vanish/>
      <w:sz w:val="2"/>
    </w:rPr>
  </w:style>
  <w:style w:type="paragraph" w:customStyle="1" w:styleId="205">
    <w:name w:val="标准文件_注后"/>
    <w:basedOn w:val="35"/>
    <w:qFormat/>
    <w:uiPriority w:val="0"/>
    <w:pPr>
      <w:ind w:left="811" w:firstLine="0" w:firstLineChars="0"/>
    </w:pPr>
    <w:rPr>
      <w:sz w:val="18"/>
    </w:rPr>
  </w:style>
  <w:style w:type="paragraph" w:customStyle="1" w:styleId="206">
    <w:name w:val="标准文件_注X后"/>
    <w:basedOn w:val="35"/>
    <w:qFormat/>
    <w:uiPriority w:val="0"/>
    <w:pPr>
      <w:ind w:left="811" w:firstLine="0" w:firstLineChars="0"/>
    </w:pPr>
    <w:rPr>
      <w:sz w:val="18"/>
    </w:rPr>
  </w:style>
  <w:style w:type="paragraph" w:customStyle="1" w:styleId="207">
    <w:name w:val="标准文件_示例后"/>
    <w:basedOn w:val="35"/>
    <w:qFormat/>
    <w:uiPriority w:val="0"/>
    <w:pPr>
      <w:ind w:left="964" w:firstLine="0" w:firstLineChars="0"/>
    </w:pPr>
    <w:rPr>
      <w:sz w:val="18"/>
    </w:rPr>
  </w:style>
  <w:style w:type="paragraph" w:customStyle="1" w:styleId="208">
    <w:name w:val="标准文件_示例X后"/>
    <w:basedOn w:val="35"/>
    <w:link w:val="209"/>
    <w:qFormat/>
    <w:uiPriority w:val="0"/>
    <w:pPr>
      <w:ind w:left="1049" w:firstLine="0" w:firstLineChars="0"/>
    </w:pPr>
    <w:rPr>
      <w:sz w:val="18"/>
    </w:rPr>
  </w:style>
  <w:style w:type="character" w:customStyle="1" w:styleId="209">
    <w:name w:val="标准文件_示例X后 字符"/>
    <w:basedOn w:val="189"/>
    <w:link w:val="208"/>
    <w:qFormat/>
    <w:uiPriority w:val="0"/>
    <w:rPr>
      <w:rFonts w:ascii="宋体" w:hAnsi="Times New Roman"/>
      <w:sz w:val="18"/>
    </w:rPr>
  </w:style>
  <w:style w:type="paragraph" w:customStyle="1" w:styleId="210">
    <w:name w:val="标准文件_索引项"/>
    <w:basedOn w:val="35"/>
    <w:next w:val="35"/>
    <w:qFormat/>
    <w:uiPriority w:val="0"/>
    <w:pPr>
      <w:tabs>
        <w:tab w:val="right" w:leader="dot" w:pos="9356"/>
      </w:tabs>
      <w:ind w:left="210" w:hanging="210" w:firstLineChars="0"/>
      <w:jc w:val="left"/>
    </w:pPr>
  </w:style>
  <w:style w:type="paragraph" w:customStyle="1" w:styleId="211">
    <w:name w:val="标准文件_附录一级无标题"/>
    <w:basedOn w:val="89"/>
    <w:qFormat/>
    <w:uiPriority w:val="0"/>
    <w:pPr>
      <w:spacing w:before="0" w:beforeLines="0" w:after="0" w:afterLines="0" w:line="276" w:lineRule="auto"/>
      <w:outlineLvl w:val="9"/>
    </w:pPr>
    <w:rPr>
      <w:rFonts w:ascii="宋体" w:eastAsia="宋体"/>
    </w:rPr>
  </w:style>
  <w:style w:type="paragraph" w:customStyle="1" w:styleId="212">
    <w:name w:val="标准文件_附录二级无标题"/>
    <w:basedOn w:val="90"/>
    <w:qFormat/>
    <w:uiPriority w:val="0"/>
    <w:pPr>
      <w:spacing w:before="0" w:beforeLines="0" w:after="0" w:afterLines="0" w:line="276" w:lineRule="auto"/>
      <w:outlineLvl w:val="9"/>
    </w:pPr>
    <w:rPr>
      <w:rFonts w:ascii="宋体" w:eastAsia="宋体"/>
    </w:rPr>
  </w:style>
  <w:style w:type="paragraph" w:customStyle="1" w:styleId="213">
    <w:name w:val="标准文件_附录三级无标题"/>
    <w:basedOn w:val="92"/>
    <w:qFormat/>
    <w:uiPriority w:val="0"/>
    <w:pPr>
      <w:spacing w:before="0" w:beforeLines="0" w:after="0" w:afterLines="0" w:line="276" w:lineRule="auto"/>
      <w:outlineLvl w:val="9"/>
    </w:pPr>
    <w:rPr>
      <w:rFonts w:ascii="宋体" w:eastAsia="宋体"/>
    </w:rPr>
  </w:style>
  <w:style w:type="paragraph" w:customStyle="1" w:styleId="214">
    <w:name w:val="标准文件_附录四级无标题"/>
    <w:basedOn w:val="93"/>
    <w:qFormat/>
    <w:uiPriority w:val="0"/>
    <w:pPr>
      <w:spacing w:before="0" w:beforeLines="0" w:after="0" w:afterLines="0" w:line="276" w:lineRule="auto"/>
      <w:outlineLvl w:val="9"/>
    </w:pPr>
    <w:rPr>
      <w:rFonts w:ascii="宋体" w:eastAsia="宋体"/>
    </w:rPr>
  </w:style>
  <w:style w:type="paragraph" w:customStyle="1" w:styleId="215">
    <w:name w:val="标准文件_附录五级无标题"/>
    <w:basedOn w:val="95"/>
    <w:qFormat/>
    <w:uiPriority w:val="0"/>
    <w:pPr>
      <w:spacing w:before="0" w:beforeLines="0" w:after="0" w:afterLines="0" w:line="276" w:lineRule="auto"/>
      <w:outlineLvl w:val="9"/>
    </w:pPr>
    <w:rPr>
      <w:rFonts w:ascii="宋体" w:eastAsia="宋体"/>
    </w:rPr>
  </w:style>
  <w:style w:type="paragraph" w:customStyle="1" w:styleId="216">
    <w:name w:val="标准文件_引言一级无标题"/>
    <w:basedOn w:val="34"/>
    <w:next w:val="35"/>
    <w:qFormat/>
    <w:uiPriority w:val="0"/>
    <w:pPr>
      <w:spacing w:before="0" w:beforeLines="0" w:after="0" w:afterLines="0" w:line="276" w:lineRule="auto"/>
    </w:pPr>
    <w:rPr>
      <w:rFonts w:ascii="宋体" w:eastAsia="宋体"/>
    </w:rPr>
  </w:style>
  <w:style w:type="paragraph" w:customStyle="1" w:styleId="217">
    <w:name w:val="标准文件_引言二级无标题"/>
    <w:basedOn w:val="36"/>
    <w:next w:val="35"/>
    <w:qFormat/>
    <w:uiPriority w:val="0"/>
    <w:pPr>
      <w:spacing w:before="0" w:beforeLines="0" w:after="0" w:afterLines="0" w:line="276" w:lineRule="auto"/>
    </w:pPr>
    <w:rPr>
      <w:rFonts w:ascii="宋体" w:eastAsia="宋体"/>
    </w:rPr>
  </w:style>
  <w:style w:type="paragraph" w:customStyle="1" w:styleId="218">
    <w:name w:val="标准文件_引言三级无标题"/>
    <w:basedOn w:val="37"/>
    <w:qFormat/>
    <w:uiPriority w:val="0"/>
    <w:pPr>
      <w:spacing w:before="0" w:beforeLines="0" w:after="0" w:afterLines="0" w:line="276" w:lineRule="auto"/>
    </w:pPr>
    <w:rPr>
      <w:rFonts w:ascii="宋体" w:eastAsia="宋体"/>
    </w:rPr>
  </w:style>
  <w:style w:type="paragraph" w:customStyle="1" w:styleId="219">
    <w:name w:val="标准文件_引言四级无标题"/>
    <w:basedOn w:val="38"/>
    <w:next w:val="35"/>
    <w:qFormat/>
    <w:uiPriority w:val="0"/>
    <w:pPr>
      <w:spacing w:before="0" w:beforeLines="0" w:after="0" w:afterLines="0" w:line="276" w:lineRule="auto"/>
    </w:pPr>
    <w:rPr>
      <w:rFonts w:ascii="宋体" w:eastAsia="宋体"/>
    </w:rPr>
  </w:style>
  <w:style w:type="paragraph" w:customStyle="1" w:styleId="220">
    <w:name w:val="标准文件_引言五级无标题"/>
    <w:basedOn w:val="39"/>
    <w:next w:val="35"/>
    <w:qFormat/>
    <w:uiPriority w:val="0"/>
    <w:pPr>
      <w:spacing w:before="0" w:beforeLines="0" w:after="0" w:afterLines="0" w:line="276" w:lineRule="auto"/>
    </w:pPr>
    <w:rPr>
      <w:rFonts w:ascii="宋体" w:eastAsia="宋体"/>
    </w:rPr>
  </w:style>
  <w:style w:type="paragraph" w:customStyle="1" w:styleId="221">
    <w:name w:val="标准文件_索引标题"/>
    <w:basedOn w:val="75"/>
    <w:next w:val="35"/>
    <w:qFormat/>
    <w:uiPriority w:val="0"/>
    <w:rPr>
      <w:rFonts w:hAnsi="黑体"/>
    </w:rPr>
  </w:style>
  <w:style w:type="paragraph" w:customStyle="1" w:styleId="222">
    <w:name w:val="标准文件_脚注内容"/>
    <w:basedOn w:val="35"/>
    <w:qFormat/>
    <w:uiPriority w:val="0"/>
    <w:pPr>
      <w:ind w:left="400" w:leftChars="200" w:hanging="200" w:hangingChars="200"/>
    </w:pPr>
    <w:rPr>
      <w:sz w:val="15"/>
    </w:rPr>
  </w:style>
  <w:style w:type="paragraph" w:customStyle="1" w:styleId="223">
    <w:name w:val="标准文件_术语条一"/>
    <w:basedOn w:val="167"/>
    <w:next w:val="35"/>
    <w:qFormat/>
    <w:uiPriority w:val="0"/>
  </w:style>
  <w:style w:type="paragraph" w:customStyle="1" w:styleId="224">
    <w:name w:val="标准文件_术语条二"/>
    <w:basedOn w:val="170"/>
    <w:next w:val="35"/>
    <w:qFormat/>
    <w:uiPriority w:val="0"/>
  </w:style>
  <w:style w:type="paragraph" w:customStyle="1" w:styleId="225">
    <w:name w:val="标准文件_术语条三"/>
    <w:basedOn w:val="169"/>
    <w:next w:val="35"/>
    <w:qFormat/>
    <w:uiPriority w:val="0"/>
  </w:style>
  <w:style w:type="paragraph" w:customStyle="1" w:styleId="226">
    <w:name w:val="标准文件_术语条四"/>
    <w:basedOn w:val="172"/>
    <w:next w:val="35"/>
    <w:qFormat/>
    <w:uiPriority w:val="0"/>
  </w:style>
  <w:style w:type="paragraph" w:customStyle="1" w:styleId="227">
    <w:name w:val="标准文件_术语条五"/>
    <w:basedOn w:val="168"/>
    <w:next w:val="35"/>
    <w:qFormat/>
    <w:uiPriority w:val="0"/>
  </w:style>
  <w:style w:type="paragraph" w:customStyle="1" w:styleId="228">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229">
    <w:name w:val="发布"/>
    <w:basedOn w:val="28"/>
    <w:qFormat/>
    <w:uiPriority w:val="0"/>
    <w:rPr>
      <w:rFonts w:ascii="黑体" w:eastAsia="黑体"/>
      <w:spacing w:val="85"/>
      <w:w w:val="100"/>
      <w:position w:val="3"/>
      <w:sz w:val="28"/>
      <w:szCs w:val="28"/>
    </w:rPr>
  </w:style>
  <w:style w:type="paragraph" w:customStyle="1" w:styleId="230">
    <w:name w:val="二级"/>
    <w:basedOn w:val="41"/>
    <w:qFormat/>
    <w:uiPriority w:val="0"/>
    <w:pPr>
      <w:spacing w:before="120" w:after="120"/>
    </w:pPr>
  </w:style>
  <w:style w:type="table" w:customStyle="1" w:styleId="231">
    <w:name w:val="网格型2"/>
    <w:basedOn w:val="26"/>
    <w:qFormat/>
    <w:uiPriority w:val="99"/>
    <w:pPr>
      <w:widowControl w:val="0"/>
      <w:jc w:val="both"/>
    </w:pPr>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2">
    <w:name w:val="网格型3"/>
    <w:basedOn w:val="26"/>
    <w:qFormat/>
    <w:uiPriority w:val="99"/>
    <w:pPr>
      <w:widowControl w:val="0"/>
      <w:jc w:val="both"/>
    </w:pPr>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3">
    <w:name w:val="网格型4"/>
    <w:basedOn w:val="26"/>
    <w:qFormat/>
    <w:uiPriority w:val="99"/>
    <w:pPr>
      <w:widowControl w:val="0"/>
      <w:jc w:val="both"/>
    </w:pPr>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4">
    <w:name w:val="网格型5"/>
    <w:basedOn w:val="26"/>
    <w:qFormat/>
    <w:uiPriority w:val="99"/>
    <w:pPr>
      <w:widowControl w:val="0"/>
      <w:jc w:val="both"/>
    </w:pPr>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35">
    <w:name w:val="文章"/>
    <w:basedOn w:val="1"/>
    <w:qFormat/>
    <w:uiPriority w:val="0"/>
    <w:pPr>
      <w:widowControl/>
      <w:autoSpaceDE w:val="0"/>
      <w:autoSpaceDN w:val="0"/>
      <w:adjustRightInd/>
      <w:spacing w:line="240" w:lineRule="auto"/>
      <w:ind w:firstLine="420" w:firstLineChars="200"/>
    </w:pPr>
    <w:rPr>
      <w:rFonts w:ascii="宋体" w:hAnsi="宋体"/>
      <w:kern w:val="0"/>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3" Type="http://schemas.openxmlformats.org/officeDocument/2006/relationships/glossaryDocument" Target="glossary/document.xml"/><Relationship Id="rId52" Type="http://schemas.openxmlformats.org/officeDocument/2006/relationships/fontTable" Target="fontTable.xml"/><Relationship Id="rId51" Type="http://schemas.openxmlformats.org/officeDocument/2006/relationships/customXml" Target="../customXml/item2.xml"/><Relationship Id="rId50" Type="http://schemas.openxmlformats.org/officeDocument/2006/relationships/numbering" Target="numbering.xml"/><Relationship Id="rId5" Type="http://schemas.openxmlformats.org/officeDocument/2006/relationships/header" Target="header1.xml"/><Relationship Id="rId49" Type="http://schemas.openxmlformats.org/officeDocument/2006/relationships/customXml" Target="../customXml/item1.xml"/><Relationship Id="rId48" Type="http://schemas.openxmlformats.org/officeDocument/2006/relationships/image" Target="media/image10.jpeg"/><Relationship Id="rId47" Type="http://schemas.openxmlformats.org/officeDocument/2006/relationships/image" Target="media/image9.png"/><Relationship Id="rId46" Type="http://schemas.openxmlformats.org/officeDocument/2006/relationships/image" Target="media/image8.png"/><Relationship Id="rId45" Type="http://schemas.openxmlformats.org/officeDocument/2006/relationships/image" Target="media/image7.png"/><Relationship Id="rId44" Type="http://schemas.openxmlformats.org/officeDocument/2006/relationships/image" Target="media/image6.png"/><Relationship Id="rId43" Type="http://schemas.openxmlformats.org/officeDocument/2006/relationships/image" Target="media/image5.png"/><Relationship Id="rId42" Type="http://schemas.openxmlformats.org/officeDocument/2006/relationships/image" Target="media/image4.png"/><Relationship Id="rId41" Type="http://schemas.openxmlformats.org/officeDocument/2006/relationships/image" Target="media/image3.png"/><Relationship Id="rId40" Type="http://schemas.openxmlformats.org/officeDocument/2006/relationships/image" Target="media/image2.png"/><Relationship Id="rId4" Type="http://schemas.openxmlformats.org/officeDocument/2006/relationships/endnotes" Target="endnotes.xml"/><Relationship Id="rId39" Type="http://schemas.openxmlformats.org/officeDocument/2006/relationships/image" Target="media/image1.png"/><Relationship Id="rId38" Type="http://schemas.openxmlformats.org/officeDocument/2006/relationships/theme" Target="theme/theme1.xml"/><Relationship Id="rId37" Type="http://schemas.openxmlformats.org/officeDocument/2006/relationships/footer" Target="footer16.xml"/><Relationship Id="rId36" Type="http://schemas.openxmlformats.org/officeDocument/2006/relationships/footer" Target="footer15.xml"/><Relationship Id="rId35" Type="http://schemas.openxmlformats.org/officeDocument/2006/relationships/header" Target="header17.xml"/><Relationship Id="rId34" Type="http://schemas.openxmlformats.org/officeDocument/2006/relationships/header" Target="header16.xml"/><Relationship Id="rId33" Type="http://schemas.openxmlformats.org/officeDocument/2006/relationships/footer" Target="footer14.xml"/><Relationship Id="rId32" Type="http://schemas.openxmlformats.org/officeDocument/2006/relationships/footer" Target="footer13.xml"/><Relationship Id="rId31" Type="http://schemas.openxmlformats.org/officeDocument/2006/relationships/header" Target="header15.xml"/><Relationship Id="rId30" Type="http://schemas.openxmlformats.org/officeDocument/2006/relationships/header" Target="header14.xml"/><Relationship Id="rId3" Type="http://schemas.openxmlformats.org/officeDocument/2006/relationships/footnotes" Target="footnotes.xml"/><Relationship Id="rId29" Type="http://schemas.openxmlformats.org/officeDocument/2006/relationships/footer" Target="footer12.xml"/><Relationship Id="rId28" Type="http://schemas.openxmlformats.org/officeDocument/2006/relationships/footer" Target="footer11.xml"/><Relationship Id="rId27" Type="http://schemas.openxmlformats.org/officeDocument/2006/relationships/header" Target="header13.xml"/><Relationship Id="rId26" Type="http://schemas.openxmlformats.org/officeDocument/2006/relationships/header" Target="header12.xml"/><Relationship Id="rId25" Type="http://schemas.openxmlformats.org/officeDocument/2006/relationships/footer" Target="footer10.xml"/><Relationship Id="rId24" Type="http://schemas.openxmlformats.org/officeDocument/2006/relationships/footer" Target="footer9.xml"/><Relationship Id="rId23" Type="http://schemas.openxmlformats.org/officeDocument/2006/relationships/header" Target="header11.xml"/><Relationship Id="rId22" Type="http://schemas.openxmlformats.org/officeDocument/2006/relationships/header" Target="header10.xml"/><Relationship Id="rId21" Type="http://schemas.openxmlformats.org/officeDocument/2006/relationships/footer" Target="footer8.xml"/><Relationship Id="rId20" Type="http://schemas.openxmlformats.org/officeDocument/2006/relationships/footer" Target="footer7.xml"/><Relationship Id="rId2" Type="http://schemas.openxmlformats.org/officeDocument/2006/relationships/settings" Target="settings.xml"/><Relationship Id="rId19" Type="http://schemas.openxmlformats.org/officeDocument/2006/relationships/header" Target="header9.xml"/><Relationship Id="rId18" Type="http://schemas.openxmlformats.org/officeDocument/2006/relationships/header" Target="header8.xml"/><Relationship Id="rId17" Type="http://schemas.openxmlformats.org/officeDocument/2006/relationships/footer" Target="footer6.xml"/><Relationship Id="rId16" Type="http://schemas.openxmlformats.org/officeDocument/2006/relationships/footer" Target="footer5.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footer" Target="footer4.xml"/><Relationship Id="rId12" Type="http://schemas.openxmlformats.org/officeDocument/2006/relationships/footer" Target="footer3.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Program%20Files\StandardEditor\template\&#22242;&#20307;&#26631;&#20934;.dotx" TargetMode="Externa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9B3BEDB4F2724F9D81F4444A5CCE266D"/>
        <w:style w:val=""/>
        <w:category>
          <w:name w:val="常规"/>
          <w:gallery w:val="placeholder"/>
        </w:category>
        <w:types>
          <w:type w:val="bbPlcHdr"/>
        </w:types>
        <w:behaviors>
          <w:behavior w:val="content"/>
        </w:behaviors>
        <w:description w:val=""/>
        <w:guid w:val="{9A791DFB-56F6-4B85-997E-8EF3CEE1C2DA}"/>
      </w:docPartPr>
      <w:docPartBody>
        <w:p w14:paraId="0526FD57">
          <w:pPr>
            <w:pStyle w:val="5"/>
            <w:rPr>
              <w:rFonts w:hint="eastAsia"/>
            </w:rPr>
          </w:pPr>
          <w:r>
            <w:rPr>
              <w:rStyle w:val="4"/>
              <w:rFonts w:hint="eastAsia"/>
            </w:rPr>
            <w:t>单击或点击此处输入文字。</w:t>
          </w:r>
        </w:p>
      </w:docPartBody>
    </w:docPart>
    <w:docPart>
      <w:docPartPr>
        <w:name w:val="78956B8278AF41489B4C226600D2E8C4"/>
        <w:style w:val=""/>
        <w:category>
          <w:name w:val="常规"/>
          <w:gallery w:val="placeholder"/>
        </w:category>
        <w:types>
          <w:type w:val="bbPlcHdr"/>
        </w:types>
        <w:behaviors>
          <w:behavior w:val="content"/>
        </w:behaviors>
        <w:description w:val=""/>
        <w:guid w:val="{35D7B9DB-82B3-43EC-9478-2F4253E62990}"/>
      </w:docPartPr>
      <w:docPartBody>
        <w:p w14:paraId="60949DF5">
          <w:pPr>
            <w:pStyle w:val="6"/>
            <w:rPr>
              <w:rFonts w:hint="eastAsia"/>
            </w:rPr>
          </w:pPr>
          <w:r>
            <w:rPr>
              <w:rStyle w:val="4"/>
              <w:rFonts w:hint="eastAsia"/>
            </w:rPr>
            <w:t>选择一项。</w:t>
          </w:r>
        </w:p>
      </w:docPartBody>
    </w:docPart>
    <w:docPart>
      <w:docPartPr>
        <w:name w:val="DD487E154D8B46B1811108614A11313A"/>
        <w:style w:val=""/>
        <w:category>
          <w:name w:val="常规"/>
          <w:gallery w:val="placeholder"/>
        </w:category>
        <w:types>
          <w:type w:val="bbPlcHdr"/>
        </w:types>
        <w:behaviors>
          <w:behavior w:val="content"/>
        </w:behaviors>
        <w:description w:val=""/>
        <w:guid w:val="{BDA84726-025B-4CC9-AFA0-B8C5A34685AA}"/>
      </w:docPartPr>
      <w:docPartBody>
        <w:p w14:paraId="0F6B4C87">
          <w:pPr>
            <w:pStyle w:val="7"/>
            <w:rPr>
              <w:rFonts w:hint="eastAsia"/>
            </w:rPr>
          </w:pPr>
          <w:r>
            <w:rPr>
              <w:rStyle w:val="4"/>
              <w:rFonts w:hint="eastAsia"/>
            </w:rPr>
            <w:t>选择一项。</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70EA"/>
    <w:rsid w:val="00016A08"/>
    <w:rsid w:val="00041B80"/>
    <w:rsid w:val="00280C94"/>
    <w:rsid w:val="005D70EA"/>
    <w:rsid w:val="00625574"/>
    <w:rsid w:val="00652254"/>
    <w:rsid w:val="006D4F5E"/>
    <w:rsid w:val="006E28E0"/>
    <w:rsid w:val="00946B88"/>
    <w:rsid w:val="00C601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9B3BEDB4F2724F9D81F4444A5CCE266D"/>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6">
    <w:name w:val="78956B8278AF41489B4C226600D2E8C4"/>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7">
    <w:name w:val="DD487E154D8B46B1811108614A11313A"/>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ln>
      </a:spPr>
      <a:bodyPr/>
      <a:lst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3E0F809-F1B0-47A2-BF3F-77BC97C7211C}">
  <ds:schemaRefs/>
</ds:datastoreItem>
</file>

<file path=docProps/app.xml><?xml version="1.0" encoding="utf-8"?>
<Properties xmlns="http://schemas.openxmlformats.org/officeDocument/2006/extended-properties" xmlns:vt="http://schemas.openxmlformats.org/officeDocument/2006/docPropsVTypes">
  <Template>团体标准</Template>
  <Pages>30</Pages>
  <Words>12494</Words>
  <Characters>13386</Characters>
  <Lines>184</Lines>
  <Paragraphs>51</Paragraphs>
  <TotalTime>95</TotalTime>
  <ScaleCrop>false</ScaleCrop>
  <LinksUpToDate>false</LinksUpToDate>
  <CharactersWithSpaces>13944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2026-05-28T08:21:00Z</dcterms:created>
  <dc:creator>阿明</dc:creator>
  <cp:lastModifiedBy>国国1415775871</cp:lastModifiedBy>
  <cp:lastPrinted>2026-09-15T08:49:00Z</cp:lastPrinted>
  <dcterms:modified xsi:type="dcterms:W3CDTF">2026-09-18T02:17:09Z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type">
    <vt:lpwstr>SDKXY</vt:lpwstr>
  </property>
  <property fmtid="{D5CDD505-2E9C-101B-9397-08002B2CF9AE}" pid="3" name="cover">
    <vt:lpwstr>true</vt:lpwstr>
  </property>
  <property fmtid="{D5CDD505-2E9C-101B-9397-08002B2CF9AE}" pid="4" name="show_menu">
    <vt:lpwstr>true</vt:lpwstr>
  </property>
  <property fmtid="{D5CDD505-2E9C-101B-9397-08002B2CF9AE}" pid="5" name="version">
    <vt:lpwstr>1.0.0</vt:lpwstr>
  </property>
  <property fmtid="{D5CDD505-2E9C-101B-9397-08002B2CF9AE}" pid="6" name="xmlname">
    <vt:lpwstr>团体标准</vt:lpwstr>
  </property>
  <property fmtid="{D5CDD505-2E9C-101B-9397-08002B2CF9AE}" pid="7" name="NSTD_CODE">
    <vt:lpwstr>GB/T-</vt:lpwstr>
  </property>
  <property fmtid="{D5CDD505-2E9C-101B-9397-08002B2CF9AE}" pid="8" name="OSTD_CODE">
    <vt:lpwstr>代替 GB/T-</vt:lpwstr>
  </property>
  <property fmtid="{D5CDD505-2E9C-101B-9397-08002B2CF9AE}" pid="9" name="flag_zhengwen">
    <vt:lpwstr>-1</vt:lpwstr>
  </property>
  <property fmtid="{D5CDD505-2E9C-101B-9397-08002B2CF9AE}" pid="10" name="flag_fulu">
    <vt:lpwstr>0</vt:lpwstr>
  </property>
  <property fmtid="{D5CDD505-2E9C-101B-9397-08002B2CF9AE}" pid="11" name="flag_pic">
    <vt:lpwstr>False</vt:lpwstr>
  </property>
  <property fmtid="{D5CDD505-2E9C-101B-9397-08002B2CF9AE}" pid="12" name="flag_tab">
    <vt:lpwstr>false</vt:lpwstr>
  </property>
  <property fmtid="{D5CDD505-2E9C-101B-9397-08002B2CF9AE}" pid="13" name="NumList">
    <vt:lpwstr>false</vt:lpwstr>
  </property>
  <property fmtid="{D5CDD505-2E9C-101B-9397-08002B2CF9AE}" pid="14" name="ICV">
    <vt:lpwstr>AAE92C2423D34FFDAB7C110BAC67C1D9_11</vt:lpwstr>
  </property>
  <property fmtid="{D5CDD505-2E9C-101B-9397-08002B2CF9AE}" pid="15" name="KSOTemplateDocerSaveRecord">
    <vt:lpwstr>eyJoZGlkIjoiYTA2NzAzZjJiZWY5Mjc4NjRmYmY4NTY1N2Y3ZTkzZDkiLCJ1c2VySWQiOiIyNDg0MDAxMiJ9</vt:lpwstr>
  </property>
  <property fmtid="{D5CDD505-2E9C-101B-9397-08002B2CF9AE}" pid="16" name="KSOProductBuildVer">
    <vt:lpwstr>2052-12.1.0.28505</vt:lpwstr>
  </property>
  <property fmtid="{D5CDD505-2E9C-101B-9397-08002B2CF9AE}" pid="17" name="DoublePage">
    <vt:lpwstr>true</vt:lpwstr>
  </property>
</Properties>
</file>