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0C0F39">
      <w:pPr>
        <w:spacing w:line="440" w:lineRule="exact"/>
        <w:jc w:val="center"/>
        <w:rPr>
          <w:rFonts w:ascii="宋体" w:hAnsi="宋体" w:eastAsia="宋体"/>
          <w:b/>
          <w:color w:val="000000" w:themeColor="text1"/>
          <w:sz w:val="36"/>
          <w:szCs w:val="36"/>
        </w:rPr>
      </w:pPr>
      <w:bookmarkStart w:id="0" w:name="_GoBack"/>
      <w:bookmarkEnd w:id="0"/>
      <w:r>
        <w:rPr>
          <w:rFonts w:hint="eastAsia" w:ascii="宋体" w:hAnsi="宋体" w:eastAsia="宋体"/>
          <w:b/>
          <w:color w:val="000000" w:themeColor="text1"/>
          <w:sz w:val="36"/>
          <w:szCs w:val="36"/>
        </w:rPr>
        <w:t>张家界市永定区官黎坪街道</w:t>
      </w:r>
    </w:p>
    <w:p w14:paraId="14BFC0DF">
      <w:pPr>
        <w:spacing w:line="440" w:lineRule="exact"/>
        <w:jc w:val="center"/>
        <w:rPr>
          <w:rFonts w:ascii="宋体" w:hAnsi="宋体" w:eastAsia="宋体"/>
          <w:b/>
          <w:color w:val="000000" w:themeColor="text1"/>
          <w:sz w:val="36"/>
          <w:szCs w:val="36"/>
        </w:rPr>
      </w:pPr>
      <w:r>
        <w:rPr>
          <w:rFonts w:hint="eastAsia" w:ascii="宋体" w:hAnsi="宋体" w:eastAsia="宋体"/>
          <w:b/>
          <w:color w:val="000000" w:themeColor="text1"/>
          <w:sz w:val="36"/>
          <w:szCs w:val="36"/>
        </w:rPr>
        <w:t>张家界国际旅游商业城B2栋部分商业房地产</w:t>
      </w:r>
    </w:p>
    <w:p w14:paraId="07B3F4F6">
      <w:pPr>
        <w:spacing w:line="400" w:lineRule="exact"/>
        <w:jc w:val="center"/>
        <w:rPr>
          <w:rFonts w:ascii="宋体" w:hAnsi="宋体" w:eastAsia="宋体"/>
          <w:b/>
          <w:color w:val="000000" w:themeColor="text1"/>
          <w:sz w:val="36"/>
          <w:szCs w:val="36"/>
        </w:rPr>
      </w:pPr>
      <w:r>
        <w:rPr>
          <w:rFonts w:hint="eastAsia" w:ascii="宋体" w:hAnsi="宋体" w:eastAsia="宋体"/>
          <w:b/>
          <w:color w:val="000000" w:themeColor="text1"/>
          <w:sz w:val="36"/>
          <w:szCs w:val="36"/>
        </w:rPr>
        <w:t>拍 卖 规 则</w:t>
      </w:r>
    </w:p>
    <w:p w14:paraId="2E694168">
      <w:pPr>
        <w:spacing w:line="400" w:lineRule="exact"/>
        <w:jc w:val="center"/>
        <w:rPr>
          <w:rFonts w:ascii="宋体" w:hAnsi="宋体" w:eastAsia="宋体"/>
          <w:b/>
          <w:color w:val="000000" w:themeColor="text1"/>
          <w:sz w:val="36"/>
          <w:szCs w:val="36"/>
        </w:rPr>
      </w:pPr>
      <w:r>
        <w:rPr>
          <w:rFonts w:hint="eastAsia" w:ascii="宋体" w:hAnsi="宋体" w:eastAsia="宋体"/>
          <w:b/>
          <w:color w:val="000000" w:themeColor="text1"/>
          <w:sz w:val="36"/>
          <w:szCs w:val="36"/>
        </w:rPr>
        <w:t>(第三次)</w:t>
      </w:r>
    </w:p>
    <w:p w14:paraId="2B57FC68">
      <w:pPr>
        <w:spacing w:line="340" w:lineRule="exact"/>
        <w:ind w:firstLine="640" w:firstLineChars="200"/>
        <w:rPr>
          <w:rFonts w:ascii="仿宋" w:hAnsi="仿宋" w:eastAsia="仿宋"/>
          <w:sz w:val="32"/>
          <w:szCs w:val="32"/>
        </w:rPr>
      </w:pPr>
      <w:r>
        <w:rPr>
          <w:rFonts w:hint="eastAsia" w:ascii="仿宋" w:hAnsi="仿宋" w:eastAsia="仿宋"/>
          <w:sz w:val="32"/>
          <w:szCs w:val="32"/>
        </w:rPr>
        <w:t>第一条：本规则根据《中华人民共和国拍卖法》等有关法律法规及公司章程，参照国际惯例制定。</w:t>
      </w:r>
    </w:p>
    <w:p w14:paraId="57B1DCB4">
      <w:pPr>
        <w:spacing w:line="340" w:lineRule="exact"/>
        <w:ind w:firstLine="640" w:firstLineChars="200"/>
        <w:rPr>
          <w:rFonts w:ascii="仿宋" w:hAnsi="仿宋" w:eastAsia="仿宋"/>
          <w:sz w:val="32"/>
          <w:szCs w:val="32"/>
        </w:rPr>
      </w:pPr>
      <w:r>
        <w:rPr>
          <w:rFonts w:hint="eastAsia" w:ascii="仿宋" w:hAnsi="仿宋" w:eastAsia="仿宋"/>
          <w:sz w:val="32"/>
          <w:szCs w:val="32"/>
        </w:rPr>
        <w:t>第二条：本次拍卖受委托，由张家界市龙腾拍卖有限公司组织实施。</w:t>
      </w:r>
    </w:p>
    <w:p w14:paraId="1C32A1D3">
      <w:pPr>
        <w:spacing w:line="340" w:lineRule="exact"/>
        <w:ind w:firstLine="640" w:firstLineChars="200"/>
        <w:rPr>
          <w:rFonts w:ascii="仿宋" w:hAnsi="仿宋" w:eastAsia="仿宋"/>
          <w:sz w:val="32"/>
          <w:szCs w:val="32"/>
        </w:rPr>
      </w:pPr>
      <w:r>
        <w:rPr>
          <w:rFonts w:hint="eastAsia" w:ascii="仿宋" w:hAnsi="仿宋" w:eastAsia="仿宋"/>
          <w:sz w:val="32"/>
          <w:szCs w:val="32"/>
        </w:rPr>
        <w:t>第三条：本次拍卖本着“公开、公平、公正、诚实信用”和“价高者得”原则进行，并欢迎监督部门及社会各界进行监督。</w:t>
      </w:r>
    </w:p>
    <w:p w14:paraId="46744E62">
      <w:pPr>
        <w:spacing w:line="340" w:lineRule="exact"/>
        <w:ind w:left="420"/>
        <w:jc w:val="left"/>
        <w:rPr>
          <w:rFonts w:ascii="仿宋" w:hAnsi="仿宋" w:eastAsia="仿宋"/>
          <w:sz w:val="32"/>
          <w:szCs w:val="32"/>
        </w:rPr>
      </w:pPr>
      <w:r>
        <w:rPr>
          <w:rFonts w:hint="eastAsia" w:ascii="仿宋" w:hAnsi="仿宋" w:eastAsia="仿宋"/>
          <w:sz w:val="32"/>
          <w:szCs w:val="32"/>
        </w:rPr>
        <w:t>第四条：拍卖标的简介</w:t>
      </w:r>
    </w:p>
    <w:p w14:paraId="78BEC1CB">
      <w:pPr>
        <w:spacing w:line="340" w:lineRule="exact"/>
        <w:ind w:firstLine="640" w:firstLineChars="200"/>
        <w:rPr>
          <w:rFonts w:ascii="仿宋" w:hAnsi="仿宋" w:eastAsia="仿宋"/>
          <w:sz w:val="32"/>
          <w:szCs w:val="32"/>
        </w:rPr>
      </w:pPr>
      <w:r>
        <w:rPr>
          <w:rFonts w:hint="eastAsia" w:ascii="仿宋" w:hAnsi="仿宋" w:eastAsia="仿宋"/>
          <w:sz w:val="32"/>
          <w:szCs w:val="32"/>
        </w:rPr>
        <w:t>1.标的一：张家界国际旅游商业城B2栋一楼102、103、105、106、107、108共6套商业房地产，总建筑面积487m</w:t>
      </w:r>
      <w:r>
        <w:rPr>
          <w:rFonts w:hint="eastAsia" w:ascii="仿宋" w:hAnsi="仿宋" w:eastAsia="宋体"/>
          <w:sz w:val="32"/>
          <w:szCs w:val="32"/>
        </w:rPr>
        <w:t>²</w:t>
      </w:r>
      <w:r>
        <w:rPr>
          <w:rFonts w:hint="eastAsia" w:ascii="仿宋" w:hAnsi="仿宋" w:eastAsia="仿宋"/>
          <w:sz w:val="32"/>
          <w:szCs w:val="32"/>
        </w:rPr>
        <w:t>,整体拍卖起拍价302.4万元（原评估价564.13万元）。详情见评估报告书《张泰业房估字〔2025〕第038号》。</w:t>
      </w:r>
    </w:p>
    <w:p w14:paraId="288F1753">
      <w:pPr>
        <w:spacing w:line="340" w:lineRule="exact"/>
        <w:ind w:firstLine="640" w:firstLineChars="200"/>
        <w:rPr>
          <w:rFonts w:ascii="仿宋" w:hAnsi="仿宋" w:eastAsia="仿宋"/>
          <w:sz w:val="32"/>
          <w:szCs w:val="32"/>
        </w:rPr>
      </w:pPr>
      <w:r>
        <w:rPr>
          <w:rFonts w:hint="eastAsia" w:ascii="仿宋" w:hAnsi="仿宋" w:eastAsia="仿宋"/>
          <w:sz w:val="32"/>
          <w:szCs w:val="32"/>
        </w:rPr>
        <w:t>2.标的二：</w:t>
      </w:r>
      <w:r>
        <w:rPr>
          <w:rFonts w:hint="eastAsia" w:ascii="仿宋" w:hAnsi="仿宋" w:eastAsia="仿宋"/>
          <w:color w:val="000000" w:themeColor="text1"/>
          <w:sz w:val="32"/>
          <w:szCs w:val="32"/>
        </w:rPr>
        <w:t xml:space="preserve"> </w:t>
      </w:r>
      <w:r>
        <w:rPr>
          <w:rFonts w:hint="eastAsia" w:ascii="仿宋" w:hAnsi="仿宋" w:eastAsia="仿宋"/>
          <w:sz w:val="32"/>
          <w:szCs w:val="32"/>
        </w:rPr>
        <w:t>张家界国际旅游商业城B2栋一楼101一套、B2栋二楼32套，共33套商业房地产，总建筑面积1384.86m</w:t>
      </w:r>
      <w:r>
        <w:rPr>
          <w:rFonts w:hint="eastAsia" w:ascii="仿宋" w:hAnsi="仿宋" w:eastAsia="宋体"/>
          <w:sz w:val="32"/>
          <w:szCs w:val="32"/>
        </w:rPr>
        <w:t>²</w:t>
      </w:r>
      <w:r>
        <w:rPr>
          <w:rFonts w:hint="eastAsia" w:ascii="仿宋" w:hAnsi="仿宋" w:eastAsia="仿宋"/>
          <w:sz w:val="32"/>
          <w:szCs w:val="32"/>
        </w:rPr>
        <w:t>,整体拍卖起拍价437.04万元（原评估价815.30万元）。详情见评估报告书《张泰业房估字〔2025〕第038号》。</w:t>
      </w:r>
    </w:p>
    <w:p w14:paraId="26A90367">
      <w:pPr>
        <w:spacing w:line="340" w:lineRule="exact"/>
        <w:ind w:firstLine="643" w:firstLineChars="200"/>
        <w:rPr>
          <w:rFonts w:ascii="仿宋" w:hAnsi="仿宋" w:eastAsia="仿宋"/>
          <w:b/>
          <w:sz w:val="32"/>
          <w:szCs w:val="32"/>
        </w:rPr>
      </w:pPr>
      <w:r>
        <w:rPr>
          <w:rFonts w:hint="eastAsia" w:ascii="仿宋" w:hAnsi="仿宋" w:eastAsia="仿宋"/>
          <w:b/>
          <w:sz w:val="32"/>
          <w:szCs w:val="32"/>
        </w:rPr>
        <w:t>特别提示：</w:t>
      </w:r>
    </w:p>
    <w:p w14:paraId="63C6EBD3">
      <w:pPr>
        <w:spacing w:line="34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1. 本次拍卖以现状拍卖，请竞买人仔细查验标的，了解商业房地产的具体情况，商业房地产具体的建筑面积和宗地面积以办证机构发证为准，上表数据仅作为参考。</w:t>
      </w:r>
    </w:p>
    <w:p w14:paraId="0D928B40">
      <w:pPr>
        <w:spacing w:line="34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2.本次拍卖商业房地产的土地使用权到2048年4月23日止。部分商业房地产已有承租方，B2栋一楼101号、二楼商业房地产租赁期到2029年4月30日止。</w:t>
      </w:r>
    </w:p>
    <w:p w14:paraId="0096DE0F">
      <w:pPr>
        <w:spacing w:line="34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3.每个拍卖标的须有两位及以上的竞买人报名，不满足报名人数的标的不参与竞价程序。</w:t>
      </w:r>
    </w:p>
    <w:p w14:paraId="523CA39E">
      <w:pPr>
        <w:spacing w:line="34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4.拍卖成交后，办理不动产转移变更登记的税费由买受人按照国家法律法规的规定承担，未包含在拍卖价款内。</w:t>
      </w:r>
    </w:p>
    <w:p w14:paraId="45475DA5">
      <w:pPr>
        <w:spacing w:line="34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5.本次拍卖标的物的过户由拍卖公司负责协助买受人办理过户手续。</w:t>
      </w:r>
    </w:p>
    <w:p w14:paraId="06286EEA">
      <w:pPr>
        <w:spacing w:line="340" w:lineRule="exact"/>
        <w:ind w:firstLine="640" w:firstLineChars="200"/>
        <w:rPr>
          <w:rFonts w:ascii="仿宋" w:hAnsi="仿宋" w:eastAsia="仿宋"/>
          <w:sz w:val="32"/>
          <w:szCs w:val="32"/>
        </w:rPr>
      </w:pPr>
      <w:r>
        <w:rPr>
          <w:rFonts w:hint="eastAsia" w:ascii="仿宋" w:hAnsi="仿宋" w:eastAsia="仿宋"/>
          <w:sz w:val="32"/>
          <w:szCs w:val="32"/>
        </w:rPr>
        <w:t>第五条：本次拍卖以现状进行拍卖，竞买人应认真审核拍卖文件，亲临现场仔细核对标的物清单、查验标的物情况。拍卖人以任何形式（语言及文字资料等）对拍卖标的的介绍和评价只是参考性意见，不构成对拍卖标的的任何担保。</w:t>
      </w:r>
    </w:p>
    <w:p w14:paraId="26E50C3D">
      <w:pPr>
        <w:spacing w:line="340" w:lineRule="exact"/>
        <w:ind w:firstLine="640" w:firstLineChars="200"/>
        <w:rPr>
          <w:rFonts w:ascii="仿宋" w:hAnsi="仿宋" w:eastAsia="仿宋"/>
          <w:sz w:val="32"/>
          <w:szCs w:val="32"/>
        </w:rPr>
      </w:pPr>
      <w:r>
        <w:rPr>
          <w:rFonts w:hint="eastAsia" w:ascii="仿宋" w:hAnsi="仿宋" w:eastAsia="仿宋"/>
          <w:sz w:val="32"/>
          <w:szCs w:val="32"/>
        </w:rPr>
        <w:t>第六条：拍卖成交后，办理不动产转移变更登记的税费由买受人按照国家法律法规的规定承担，未包含在拍卖价款内。</w:t>
      </w:r>
    </w:p>
    <w:p w14:paraId="61B0F6B5">
      <w:pPr>
        <w:spacing w:line="340" w:lineRule="exact"/>
        <w:ind w:firstLine="640" w:firstLineChars="200"/>
        <w:rPr>
          <w:rFonts w:ascii="仿宋" w:hAnsi="仿宋" w:eastAsia="仿宋"/>
          <w:sz w:val="32"/>
          <w:szCs w:val="32"/>
        </w:rPr>
      </w:pPr>
      <w:r>
        <w:rPr>
          <w:rFonts w:hint="eastAsia" w:ascii="仿宋" w:hAnsi="仿宋" w:eastAsia="仿宋"/>
          <w:sz w:val="32"/>
          <w:szCs w:val="32"/>
        </w:rPr>
        <w:t>第七条：竞买人参加竞买，须凭合法有效身份证明和规定的保证金报名，领取竞价牌。竞买人可自行参加竞买，也可委托其代理人参加竞买，竞买人委托代理人参加竞买的必须由竞买人出具书面委托书及相关身份证明。竞买人若非事先出具书面证明其为代理人，则一律视为竞买人本人。</w:t>
      </w:r>
    </w:p>
    <w:p w14:paraId="021E7CC9">
      <w:pPr>
        <w:spacing w:line="340" w:lineRule="exact"/>
        <w:ind w:firstLine="640" w:firstLineChars="200"/>
        <w:rPr>
          <w:rFonts w:ascii="仿宋" w:hAnsi="仿宋" w:eastAsia="仿宋"/>
          <w:sz w:val="32"/>
          <w:szCs w:val="32"/>
        </w:rPr>
      </w:pPr>
      <w:r>
        <w:rPr>
          <w:rFonts w:hint="eastAsia" w:ascii="仿宋" w:hAnsi="仿宋" w:eastAsia="仿宋"/>
          <w:sz w:val="32"/>
          <w:szCs w:val="32"/>
        </w:rPr>
        <w:t>第八条：本次拍卖设有保留底价，应价未达到保留底价不得成交。</w:t>
      </w:r>
    </w:p>
    <w:p w14:paraId="7A647FFD">
      <w:pPr>
        <w:spacing w:line="340" w:lineRule="exact"/>
        <w:ind w:firstLine="640" w:firstLineChars="200"/>
        <w:rPr>
          <w:rFonts w:ascii="仿宋" w:hAnsi="仿宋" w:eastAsia="仿宋"/>
          <w:sz w:val="32"/>
          <w:szCs w:val="32"/>
        </w:rPr>
      </w:pPr>
      <w:r>
        <w:rPr>
          <w:rFonts w:hint="eastAsia" w:ascii="仿宋" w:hAnsi="仿宋" w:eastAsia="仿宋"/>
          <w:sz w:val="32"/>
          <w:szCs w:val="32"/>
        </w:rPr>
        <w:t>第九条：本次拍卖实行增价拍卖的方式竞价，起拍价和加价幅度由拍卖师现场宣布，竞买人可以跳价竞价，也可口头报价，但报价不得低于加价幅度。拍卖过程中拍卖师有权现场调整加价幅度。</w:t>
      </w:r>
    </w:p>
    <w:p w14:paraId="1D8A1896">
      <w:pPr>
        <w:spacing w:line="340" w:lineRule="exact"/>
        <w:ind w:firstLine="640" w:firstLineChars="200"/>
        <w:rPr>
          <w:rFonts w:ascii="仿宋" w:hAnsi="仿宋" w:eastAsia="仿宋"/>
          <w:sz w:val="32"/>
          <w:szCs w:val="32"/>
        </w:rPr>
      </w:pPr>
      <w:r>
        <w:rPr>
          <w:rFonts w:hint="eastAsia" w:ascii="仿宋" w:hAnsi="仿宋" w:eastAsia="仿宋"/>
          <w:sz w:val="32"/>
          <w:szCs w:val="32"/>
        </w:rPr>
        <w:t>第十条：竞买人应理性应价，必须对自己在任何价位上的应价负责，一经应价不得撤回。当拍卖师对最高应价声明三次，而再无人加价，且又达到了委托人的保留价，拍卖师将落槌确认成交，拍卖产生法律效力，买受人应当场与拍卖人签署成交确认书，并在拍卖记录上签字确认。买受人若拒绝签署成交确认书或反悔，其保证金不予退还并按照相关法律规定追究责任。</w:t>
      </w:r>
    </w:p>
    <w:p w14:paraId="7906F33A">
      <w:pPr>
        <w:spacing w:line="340" w:lineRule="exact"/>
        <w:ind w:firstLine="640" w:firstLineChars="200"/>
        <w:rPr>
          <w:rFonts w:ascii="仿宋" w:hAnsi="仿宋" w:eastAsia="仿宋"/>
          <w:sz w:val="32"/>
          <w:szCs w:val="32"/>
        </w:rPr>
      </w:pPr>
      <w:r>
        <w:rPr>
          <w:rFonts w:hint="eastAsia" w:ascii="仿宋" w:hAnsi="仿宋" w:eastAsia="仿宋"/>
          <w:sz w:val="32"/>
          <w:szCs w:val="32"/>
        </w:rPr>
        <w:t>第十一条：拍卖价款的支付：拍卖成交后，买受人需在5天</w:t>
      </w:r>
      <w:r>
        <w:rPr>
          <w:rFonts w:ascii="仿宋" w:hAnsi="仿宋" w:eastAsia="仿宋"/>
          <w:sz w:val="32"/>
          <w:szCs w:val="32"/>
        </w:rPr>
        <w:t>内交清拍卖成交价款，价款交付到竞买保证金账户。若买受人未按约定时间支付价款的，应按照《拍卖法》及有关规定承担违约责任</w:t>
      </w:r>
      <w:r>
        <w:rPr>
          <w:rFonts w:hint="eastAsia" w:ascii="仿宋" w:hAnsi="仿宋" w:eastAsia="仿宋"/>
          <w:sz w:val="32"/>
          <w:szCs w:val="32"/>
        </w:rPr>
        <w:t>，竞买人违反拍卖规则，扣收保证金用于支付评估费、拍卖佣金及正当费用之后用于缴纳税款</w:t>
      </w:r>
      <w:r>
        <w:rPr>
          <w:rFonts w:ascii="仿宋" w:hAnsi="仿宋" w:eastAsia="仿宋"/>
          <w:sz w:val="32"/>
          <w:szCs w:val="32"/>
        </w:rPr>
        <w:t>。未被拍卖师确认为买受人的，凭竞买保证金转款凭证在5个工作日原路无息退回保证金。</w:t>
      </w:r>
    </w:p>
    <w:p w14:paraId="364D2E14">
      <w:pPr>
        <w:spacing w:line="340" w:lineRule="exact"/>
        <w:ind w:firstLine="640" w:firstLineChars="200"/>
        <w:rPr>
          <w:rFonts w:ascii="仿宋" w:hAnsi="仿宋" w:eastAsia="仿宋"/>
          <w:sz w:val="32"/>
          <w:szCs w:val="32"/>
        </w:rPr>
      </w:pPr>
      <w:r>
        <w:rPr>
          <w:rFonts w:hint="eastAsia" w:ascii="仿宋" w:hAnsi="仿宋" w:eastAsia="仿宋"/>
          <w:sz w:val="32"/>
          <w:szCs w:val="32"/>
        </w:rPr>
        <w:t>第十二条：拍卖佣金的收取：拍卖会上被拍卖师确认为买受人的，买受人必须在</w:t>
      </w:r>
      <w:r>
        <w:rPr>
          <w:rFonts w:ascii="仿宋" w:hAnsi="仿宋" w:eastAsia="仿宋"/>
          <w:sz w:val="32"/>
          <w:szCs w:val="32"/>
        </w:rPr>
        <w:t>3个工作日内按照《拍卖法》的规定向拍卖</w:t>
      </w:r>
      <w:r>
        <w:rPr>
          <w:rFonts w:hint="eastAsia" w:ascii="仿宋" w:hAnsi="仿宋" w:eastAsia="仿宋"/>
          <w:sz w:val="32"/>
          <w:szCs w:val="32"/>
        </w:rPr>
        <w:t>公司</w:t>
      </w:r>
      <w:r>
        <w:rPr>
          <w:rFonts w:ascii="仿宋" w:hAnsi="仿宋" w:eastAsia="仿宋"/>
          <w:sz w:val="32"/>
          <w:szCs w:val="32"/>
        </w:rPr>
        <w:t>交纳</w:t>
      </w:r>
      <w:r>
        <w:rPr>
          <w:rFonts w:hint="eastAsia" w:ascii="仿宋" w:hAnsi="仿宋" w:eastAsia="仿宋"/>
          <w:sz w:val="32"/>
          <w:szCs w:val="32"/>
        </w:rPr>
        <w:t>1</w:t>
      </w:r>
      <w:r>
        <w:rPr>
          <w:rFonts w:ascii="仿宋" w:hAnsi="仿宋" w:eastAsia="仿宋"/>
          <w:sz w:val="32"/>
          <w:szCs w:val="32"/>
        </w:rPr>
        <w:t>％拍卖佣金。</w:t>
      </w:r>
    </w:p>
    <w:p w14:paraId="30240531">
      <w:pPr>
        <w:spacing w:line="340" w:lineRule="exact"/>
        <w:ind w:firstLine="640" w:firstLineChars="200"/>
        <w:rPr>
          <w:rFonts w:ascii="仿宋" w:hAnsi="仿宋" w:eastAsia="仿宋"/>
          <w:sz w:val="32"/>
          <w:szCs w:val="32"/>
        </w:rPr>
      </w:pPr>
      <w:r>
        <w:rPr>
          <w:rFonts w:hint="eastAsia" w:ascii="仿宋" w:hAnsi="仿宋" w:eastAsia="仿宋"/>
          <w:sz w:val="32"/>
          <w:szCs w:val="32"/>
        </w:rPr>
        <w:t>第十三条：标的物的移交：拍卖成交后，由本公司出具拍卖成交确认书，在出让人的协助下办理过户手续。</w:t>
      </w:r>
    </w:p>
    <w:p w14:paraId="7647A327">
      <w:pPr>
        <w:spacing w:line="340" w:lineRule="exact"/>
        <w:ind w:firstLine="640" w:firstLineChars="200"/>
        <w:rPr>
          <w:rFonts w:ascii="仿宋" w:hAnsi="仿宋" w:eastAsia="仿宋"/>
          <w:sz w:val="32"/>
          <w:szCs w:val="32"/>
        </w:rPr>
      </w:pPr>
      <w:r>
        <w:rPr>
          <w:rFonts w:hint="eastAsia" w:ascii="仿宋" w:hAnsi="仿宋" w:eastAsia="仿宋"/>
          <w:sz w:val="32"/>
          <w:szCs w:val="32"/>
        </w:rPr>
        <w:t>第十四条：竞买人应按拍卖公告规定的时间、地点准时出席拍卖会，遵守拍卖会秩序，不得以任何方式干扰拍卖会的正常进行，否则将取消竞买资格并视情节追究其责任。竞买人入场当即表示遵守该拍卖规则，若有疑问者请于拍卖会前咨询，否则产生的法律后果由自己承担。</w:t>
      </w:r>
    </w:p>
    <w:p w14:paraId="7D017D78">
      <w:pPr>
        <w:spacing w:line="340" w:lineRule="exact"/>
        <w:ind w:firstLine="640" w:firstLineChars="200"/>
        <w:rPr>
          <w:rFonts w:ascii="仿宋" w:hAnsi="仿宋" w:eastAsia="仿宋"/>
          <w:sz w:val="32"/>
          <w:szCs w:val="32"/>
        </w:rPr>
      </w:pPr>
    </w:p>
    <w:p w14:paraId="0EA619CF">
      <w:pPr>
        <w:spacing w:line="340" w:lineRule="exact"/>
        <w:ind w:firstLine="640" w:firstLineChars="200"/>
        <w:jc w:val="right"/>
        <w:rPr>
          <w:rFonts w:ascii="仿宋" w:hAnsi="仿宋" w:eastAsia="仿宋"/>
          <w:sz w:val="32"/>
          <w:szCs w:val="32"/>
        </w:rPr>
      </w:pPr>
      <w:r>
        <w:rPr>
          <w:rFonts w:hint="eastAsia" w:ascii="仿宋" w:hAnsi="仿宋" w:eastAsia="仿宋"/>
          <w:sz w:val="32"/>
          <w:szCs w:val="32"/>
        </w:rPr>
        <w:t>张家界市龙腾拍卖有限公司</w:t>
      </w:r>
    </w:p>
    <w:p w14:paraId="0FA49B4A">
      <w:pPr>
        <w:spacing w:line="340" w:lineRule="exact"/>
        <w:ind w:firstLine="640" w:firstLineChars="200"/>
        <w:jc w:val="right"/>
        <w:rPr>
          <w:rFonts w:ascii="仿宋" w:hAnsi="仿宋" w:eastAsia="仿宋"/>
          <w:sz w:val="32"/>
          <w:szCs w:val="32"/>
        </w:rPr>
      </w:pPr>
      <w:r>
        <w:rPr>
          <w:rFonts w:ascii="仿宋" w:hAnsi="仿宋" w:eastAsia="仿宋"/>
          <w:sz w:val="32"/>
          <w:szCs w:val="32"/>
        </w:rPr>
        <w:t>202</w:t>
      </w:r>
      <w:r>
        <w:rPr>
          <w:rFonts w:hint="eastAsia" w:ascii="仿宋" w:hAnsi="仿宋" w:eastAsia="仿宋"/>
          <w:sz w:val="32"/>
          <w:szCs w:val="32"/>
        </w:rPr>
        <w:t>5</w:t>
      </w:r>
      <w:r>
        <w:rPr>
          <w:rFonts w:ascii="仿宋" w:hAnsi="仿宋" w:eastAsia="仿宋"/>
          <w:sz w:val="32"/>
          <w:szCs w:val="32"/>
        </w:rPr>
        <w:t>年</w:t>
      </w:r>
      <w:r>
        <w:rPr>
          <w:rFonts w:hint="eastAsia" w:ascii="仿宋" w:hAnsi="仿宋" w:eastAsia="仿宋"/>
          <w:sz w:val="32"/>
          <w:szCs w:val="32"/>
        </w:rPr>
        <w:t>4</w:t>
      </w:r>
      <w:r>
        <w:rPr>
          <w:rFonts w:ascii="仿宋" w:hAnsi="仿宋" w:eastAsia="仿宋"/>
          <w:sz w:val="32"/>
          <w:szCs w:val="32"/>
        </w:rPr>
        <w:t>月</w:t>
      </w:r>
      <w:r>
        <w:rPr>
          <w:rFonts w:hint="eastAsia" w:ascii="仿宋" w:hAnsi="仿宋" w:eastAsia="仿宋"/>
          <w:sz w:val="32"/>
          <w:szCs w:val="32"/>
        </w:rPr>
        <w:t>7</w:t>
      </w:r>
      <w:r>
        <w:rPr>
          <w:rFonts w:ascii="仿宋" w:hAnsi="仿宋" w:eastAsia="仿宋"/>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C28CE">
    <w:pPr>
      <w:pStyle w:val="2"/>
      <w:rPr>
        <w:rFonts w:ascii="宋体" w:hAnsi="宋体" w:eastAsia="宋体"/>
        <w:sz w:val="28"/>
        <w:szCs w:val="28"/>
      </w:rPr>
    </w:pPr>
    <w:r>
      <w:rPr>
        <w:rFonts w:hint="eastAsia" w:ascii="宋体" w:hAnsi="宋体" w:eastAsia="宋体"/>
        <w:sz w:val="28"/>
        <w:szCs w:val="28"/>
      </w:rPr>
      <w:t>竞买人确认签名：</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1B6"/>
    <w:rsid w:val="000150F6"/>
    <w:rsid w:val="000734F8"/>
    <w:rsid w:val="000925C3"/>
    <w:rsid w:val="000E4D89"/>
    <w:rsid w:val="00105B0B"/>
    <w:rsid w:val="00112C8D"/>
    <w:rsid w:val="00156EAD"/>
    <w:rsid w:val="00161CEB"/>
    <w:rsid w:val="00165DC0"/>
    <w:rsid w:val="00187149"/>
    <w:rsid w:val="001A73FE"/>
    <w:rsid w:val="002072DC"/>
    <w:rsid w:val="00224D41"/>
    <w:rsid w:val="002253B9"/>
    <w:rsid w:val="00244561"/>
    <w:rsid w:val="00290399"/>
    <w:rsid w:val="00291866"/>
    <w:rsid w:val="002A290B"/>
    <w:rsid w:val="002B1211"/>
    <w:rsid w:val="00317543"/>
    <w:rsid w:val="003338F3"/>
    <w:rsid w:val="00341814"/>
    <w:rsid w:val="00412B4E"/>
    <w:rsid w:val="004446DF"/>
    <w:rsid w:val="00451F2C"/>
    <w:rsid w:val="00454BAA"/>
    <w:rsid w:val="004A2AAE"/>
    <w:rsid w:val="0050305F"/>
    <w:rsid w:val="00520691"/>
    <w:rsid w:val="005224BB"/>
    <w:rsid w:val="005B6BD7"/>
    <w:rsid w:val="00641325"/>
    <w:rsid w:val="00641F73"/>
    <w:rsid w:val="00665173"/>
    <w:rsid w:val="006658A7"/>
    <w:rsid w:val="006915D5"/>
    <w:rsid w:val="006A32A6"/>
    <w:rsid w:val="006D5692"/>
    <w:rsid w:val="00705935"/>
    <w:rsid w:val="007125B0"/>
    <w:rsid w:val="007276F6"/>
    <w:rsid w:val="00762326"/>
    <w:rsid w:val="007714C4"/>
    <w:rsid w:val="007721B6"/>
    <w:rsid w:val="00794173"/>
    <w:rsid w:val="00853046"/>
    <w:rsid w:val="008B4E6B"/>
    <w:rsid w:val="00932997"/>
    <w:rsid w:val="00944AD8"/>
    <w:rsid w:val="0095038F"/>
    <w:rsid w:val="00955929"/>
    <w:rsid w:val="0096740C"/>
    <w:rsid w:val="00970209"/>
    <w:rsid w:val="00987621"/>
    <w:rsid w:val="0099585E"/>
    <w:rsid w:val="009A60F8"/>
    <w:rsid w:val="009F15BF"/>
    <w:rsid w:val="009F56F8"/>
    <w:rsid w:val="00A47B6E"/>
    <w:rsid w:val="00A556AB"/>
    <w:rsid w:val="00A55A3D"/>
    <w:rsid w:val="00A562EB"/>
    <w:rsid w:val="00A616F3"/>
    <w:rsid w:val="00A80BE4"/>
    <w:rsid w:val="00A950AF"/>
    <w:rsid w:val="00B32095"/>
    <w:rsid w:val="00BA2379"/>
    <w:rsid w:val="00BB2470"/>
    <w:rsid w:val="00BE4813"/>
    <w:rsid w:val="00BE4A96"/>
    <w:rsid w:val="00BE664E"/>
    <w:rsid w:val="00C248D1"/>
    <w:rsid w:val="00C319AE"/>
    <w:rsid w:val="00CB56B2"/>
    <w:rsid w:val="00CE7C0E"/>
    <w:rsid w:val="00CF31F9"/>
    <w:rsid w:val="00D0689F"/>
    <w:rsid w:val="00D27E31"/>
    <w:rsid w:val="00D355B4"/>
    <w:rsid w:val="00D706AE"/>
    <w:rsid w:val="00D765EA"/>
    <w:rsid w:val="00DE0260"/>
    <w:rsid w:val="00DE5B4B"/>
    <w:rsid w:val="00E10256"/>
    <w:rsid w:val="00E8012E"/>
    <w:rsid w:val="00F21764"/>
    <w:rsid w:val="00F24649"/>
    <w:rsid w:val="00F3504C"/>
    <w:rsid w:val="00F97FB1"/>
    <w:rsid w:val="00FC4862"/>
    <w:rsid w:val="22621CDE"/>
    <w:rsid w:val="42ED2735"/>
    <w:rsid w:val="659142CC"/>
    <w:rsid w:val="6F2415A1"/>
    <w:rsid w:val="7ACC48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List Paragraph"/>
    <w:basedOn w:val="1"/>
    <w:qFormat/>
    <w:uiPriority w:val="34"/>
    <w:pPr>
      <w:ind w:firstLine="420" w:firstLineChars="200"/>
    </w:pPr>
  </w:style>
  <w:style w:type="character" w:customStyle="1" w:styleId="8">
    <w:name w:val="页眉 Char"/>
    <w:basedOn w:val="6"/>
    <w:link w:val="3"/>
    <w:semiHidden/>
    <w:qFormat/>
    <w:uiPriority w:val="99"/>
    <w:rPr>
      <w:sz w:val="18"/>
      <w:szCs w:val="18"/>
    </w:rPr>
  </w:style>
  <w:style w:type="character" w:customStyle="1" w:styleId="9">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1584</Words>
  <Characters>1668</Characters>
  <Lines>12</Lines>
  <Paragraphs>3</Paragraphs>
  <TotalTime>106</TotalTime>
  <ScaleCrop>false</ScaleCrop>
  <LinksUpToDate>false</LinksUpToDate>
  <CharactersWithSpaces>1673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2023-02-14T05:50:00Z</dcterms:created>
  <dc:creator>2876441264@qq.com</dc:creator>
  <cp:lastModifiedBy>国国1415775871</cp:lastModifiedBy>
  <cp:lastPrinted>2025-04-07T07:04:00Z</cp:lastPrinted>
  <dcterms:modified xsi:type="dcterms:W3CDTF">2025-04-08T02:33:06Z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eyJoZGlkIjoiZjFlZTcxOTlhZTcyMTc4YTM1ZDNhOTBlYTZlYThiMjMiLCJ1c2VySWQiOiI0NDAwOTg0NTYifQ==</vt:lpwstr>
  </property>
  <property fmtid="{D5CDD505-2E9C-101B-9397-08002B2CF9AE}" pid="3" name="KSOProductBuildVer">
    <vt:lpwstr>2052-12.1.0.20784</vt:lpwstr>
  </property>
  <property fmtid="{D5CDD505-2E9C-101B-9397-08002B2CF9AE}" pid="4" name="ICV">
    <vt:lpwstr>DA1C71292B154FD8A4AD5365D9075804_13</vt:lpwstr>
  </property>
</Properties>
</file>